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ДОГОВОР КУПЛИ-ПРОДАЖИ НЕДВИЖИМОГО ИМУЩЕСТВА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240" w:line="240" w:lineRule="auto"/>
        <w:ind/>
        <w:contextualSpacing w:val="true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b/>
          <w:lang w:val="ru-RU"/>
        </w:rPr>
      </w:pPr>
      <w:r>
        <w:rPr>
          <w:b/>
          <w:lang w:val="ru-RU"/>
        </w:rPr>
        <w:t xml:space="preserve">г. Уфа                                                                                                               </w:t>
      </w:r>
      <w:r>
        <w:rPr>
          <w:b/>
          <w:lang w:val="ru-RU"/>
        </w:rPr>
        <w:t xml:space="preserve">   «</w:t>
      </w:r>
      <w:r>
        <w:rPr>
          <w:b/>
          <w:highlight w:val="yellow"/>
          <w:lang w:val="ru-RU"/>
        </w:rPr>
        <w:t xml:space="preserve">___</w:t>
      </w:r>
      <w:r>
        <w:rPr>
          <w:b/>
          <w:lang w:val="ru-RU"/>
        </w:rPr>
        <w:t xml:space="preserve">» </w:t>
      </w:r>
      <w:r>
        <w:rPr>
          <w:b/>
          <w:highlight w:val="yellow"/>
          <w:lang w:val="ru-RU"/>
        </w:rPr>
        <w:t xml:space="preserve">_____________</w:t>
      </w:r>
      <w:r>
        <w:rPr>
          <w:b/>
          <w:lang w:val="ru-RU"/>
        </w:rPr>
        <w:t xml:space="preserve"> 2026 года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tabs>
          <w:tab w:val="right" w:leader="none" w:pos="9400"/>
        </w:tabs>
        <w:spacing w:after="240"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Финансовый управляющий гражданина РФ </w:t>
      </w:r>
      <w:r>
        <w:rPr>
          <w:highlight w:val="yellow"/>
          <w:lang w:val="ru-RU"/>
        </w:rPr>
        <w:t xml:space="preserve">(Ф.И.О. должника)</w:t>
      </w:r>
      <w:r>
        <w:rPr>
          <w:lang w:val="ru-RU"/>
        </w:rPr>
        <w:t xml:space="preserve"> - </w:t>
      </w:r>
      <w:r>
        <w:rPr>
          <w:b/>
          <w:bCs/>
          <w:color w:val="000000" w:themeColor="text1"/>
          <w:sz w:val="22"/>
          <w:szCs w:val="22"/>
          <w:highlight w:val="white"/>
        </w:rPr>
        <w:t xml:space="preserve">Тихонова Кристина Алескандровна</w:t>
      </w:r>
      <w:r/>
      <w:r>
        <w:rPr>
          <w:lang w:val="ru-RU"/>
        </w:rPr>
      </w:r>
      <w:r>
        <w:rPr>
          <w:lang w:val="ru-RU"/>
        </w:rPr>
        <w:t xml:space="preserve">, </w:t>
      </w:r>
      <w:r>
        <w:rPr>
          <w:sz w:val="22"/>
          <w:szCs w:val="22"/>
          <w:highlight w:val="white"/>
        </w:rPr>
      </w:r>
      <w:r>
        <w:rPr>
          <w:sz w:val="22"/>
          <w:szCs w:val="22"/>
          <w:highlight w:val="white"/>
          <w:lang w:val="ru-RU"/>
        </w:rPr>
        <w:t xml:space="preserve">член </w:t>
      </w:r>
      <w:r>
        <w:rPr>
          <w:sz w:val="22"/>
          <w:szCs w:val="22"/>
          <w:highlight w:val="white"/>
        </w:rPr>
        <w:t xml:space="preserve">Союза арбитражных управляющих "ПроРешения" (ИНН 0274390698,  ОГРН 1240200036449, адрес: 123112, г Москва, наб Пресненская, д 12, 3/67)</w:t>
      </w:r>
      <w:r/>
      <w:r>
        <w:rPr>
          <w:lang w:val="ru-RU"/>
        </w:rPr>
      </w:r>
      <w:r>
        <w:rPr>
          <w:lang w:val="ru-RU"/>
        </w:rPr>
        <w:t xml:space="preserve">, действующий на основании решения Арбитражного суда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от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(резолютивная часть объявлена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) по делу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именуемый в дальнейшем «Продавец», с одной стороны, и </w:t>
      </w:r>
      <w:r>
        <w:rPr>
          <w:highlight w:val="yellow"/>
          <w:lang w:val="ru-RU"/>
        </w:rPr>
        <w:t xml:space="preserve">(Ф.И.О. покупателя)</w:t>
      </w:r>
      <w:r>
        <w:rPr>
          <w:lang w:val="ru-RU"/>
        </w:rPr>
        <w:t xml:space="preserve">,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 г.р., паспорт серия </w:t>
      </w:r>
      <w:r>
        <w:rPr>
          <w:highlight w:val="yellow"/>
          <w:lang w:val="ru-RU"/>
        </w:rPr>
        <w:t xml:space="preserve">______</w:t>
      </w:r>
      <w:r>
        <w:rPr>
          <w:lang w:val="ru-RU"/>
        </w:rPr>
        <w:t xml:space="preserve"> №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выдан </w:t>
      </w:r>
      <w:r>
        <w:rPr>
          <w:highlight w:val="yellow"/>
          <w:lang w:val="ru-RU"/>
        </w:rPr>
        <w:t xml:space="preserve">__________</w:t>
      </w:r>
      <w:r>
        <w:rPr>
          <w:lang w:val="ru-RU"/>
        </w:rPr>
        <w:t xml:space="preserve">, код подразделения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, зарегистрированный по адресу: </w:t>
      </w:r>
      <w:r>
        <w:rPr>
          <w:highlight w:val="yellow"/>
          <w:lang w:val="ru-RU"/>
        </w:rPr>
        <w:t xml:space="preserve">____________________</w:t>
      </w:r>
      <w:r>
        <w:rPr>
          <w:lang w:val="ru-RU"/>
        </w:rPr>
        <w:t xml:space="preserve">, именуемый в дальнейшем «Покупатель», с другой стороны, заключили настоящий Договор о нижеследующем.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1. ПРЕДМЕТ ДОГОВОРА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1.1. Продавец передаёт в собственность Покупателю, а Покупатель обязуется принять и оплатить недвижимое имущество (далее - Имущество): вид объекта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назначение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кадастровый номер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; площадь </w:t>
      </w:r>
      <w:r>
        <w:rPr>
          <w:highlight w:val="yellow"/>
          <w:lang w:val="ru-RU"/>
        </w:rPr>
        <w:t xml:space="preserve">________</w:t>
      </w:r>
      <w:r>
        <w:rPr>
          <w:lang w:val="ru-RU"/>
        </w:rPr>
        <w:t xml:space="preserve"> кв. м; адрес (местоположение) </w:t>
      </w:r>
      <w:r>
        <w:rPr>
          <w:highlight w:val="yellow"/>
          <w:lang w:val="ru-RU"/>
        </w:rPr>
        <w:t xml:space="preserve">________________________</w:t>
      </w:r>
      <w:r>
        <w:rPr>
          <w:lang w:val="ru-RU"/>
        </w:rPr>
        <w:t xml:space="preserve">, вид права, доля в праве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Характеристики приводятся по данным Единого государственного реестра недвижимости (далее - ЕГРН) и имеющимся у Продавца документам.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1.2. Имущество продаётся в фактическом состоянии, с учётом износа, в тех границах, площади и с теми характеристиками, которые отражены в ЕГРН. Продавец не гарантирует техническое состояние Имущества и его пригодность для целей Покупателя, отсутстви</w:t>
      </w:r>
      <w:r>
        <w:rPr>
          <w:lang w:val="ru-RU"/>
        </w:rPr>
        <w:t xml:space="preserve">е скрытых недостатков, соответствие фактических границ, площади, планировки и назначения сведениям ЕГРН, отсутствие самовольных построек, реконструкции и перепланировок, наличие и состояние коммуникаций и подъездных путей, полноту сведений об обременениях.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гарантирует, что до подписания Договора Имущество иному лицу не продано.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1.3. Покупатель осведомлён, что Имущество может быть занято должником или иными лицами, </w:t>
      </w:r>
      <w:r>
        <w:rPr>
          <w:lang w:val="ru-RU"/>
        </w:rPr>
        <w:t xml:space="preserve">в нём могут находиться их вещи, по адресу Имущества могут быть зарегистрированы третьи лица, а ключи, иные средства доступа и документы на Имущество у Продавца могут отсутствовать и Покупателю не передаются. Доступ к Имуществу Продавцом не обеспечивается.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Лицо, у которого Имущество фактически находится (должник):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, контактные данные: </w:t>
      </w:r>
      <w:r>
        <w:rPr>
          <w:highlight w:val="yellow"/>
          <w:lang w:val="ru-RU"/>
        </w:rPr>
        <w:t xml:space="preserve">______________</w:t>
      </w:r>
      <w:r>
        <w:rPr>
          <w:lang w:val="ru-RU"/>
        </w:rPr>
        <w:t xml:space="preserve">. Сведения приводятся по имеющимся у Продавца данным; их полноту и достоверность Продавец не гарантирует.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1.4. Покупатель осознаёт, что приобретает Имущество на торгах в деле о банкротстве, и пр</w:t>
      </w:r>
      <w:r>
        <w:rPr>
          <w:lang w:val="ru-RU"/>
        </w:rPr>
        <w:t xml:space="preserve">инимает на себя риск наличия арестов, запретов на совершение регистрационных действий, ипотеки, иных обременений и прав третьих лиц, в том числе не отражённых в ЕГРН и в документах Продавца либо Продавцу не известных, и учёл этот риск в предложенной цене.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1.5. На стороне Покупателя выступает одно лицо - победитель торгов либо их единственный участник. Уступка прав и перевод долга по Договору,</w:t>
      </w:r>
      <w:r>
        <w:rPr>
          <w:lang w:val="ru-RU"/>
        </w:rPr>
        <w:t xml:space="preserve"> замена Покупателя, оформление Имущества на иное лицо и приобретение Имущества в общую долевую собственность нескольких лиц не допускаются. Возникновение в силу закона режима общей совместной собственности супругов нарушением настоящего пункта не является.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2. ЦЕНА ДОГОВОРА И ПОРЯДОК РАСЧЁТОВ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2.1. Цена Имущества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(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)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 Цена установлена по результатам открытых торгов, является окончательной и изменению не подлежит. Внесённый задаток в сумме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засчитывается в счёт оплаты цены; сумма к доплате составляет </w:t>
      </w:r>
      <w:r>
        <w:rPr>
          <w:highlight w:val="yellow"/>
          <w:lang w:val="ru-RU"/>
        </w:rPr>
        <w:t xml:space="preserve">____________</w:t>
      </w:r>
      <w:r>
        <w:rPr>
          <w:lang w:val="ru-RU"/>
        </w:rPr>
        <w:t xml:space="preserve"> руб. </w:t>
      </w:r>
      <w:r>
        <w:rPr>
          <w:highlight w:val="yellow"/>
          <w:lang w:val="ru-RU"/>
        </w:rPr>
        <w:t xml:space="preserve">___</w:t>
      </w:r>
      <w:r>
        <w:rPr>
          <w:lang w:val="ru-RU"/>
        </w:rPr>
        <w:t xml:space="preserve"> коп.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2.2. Сумма к доплате перечисляется на счёт должника, указанный в разделе 8 Договора, в течение 30 (тридцати) дней с даты подписания Договора. Обязательство по оплате считается исполненным в день зачисления всей суммы на указанный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2.3. Все расходы на нотариальное удостоверение Договора и доверенности, кадастровые работы и государственный кадастровый учёт, государственную регистрацию перехода права (включая </w:t>
      </w:r>
      <w:r>
        <w:rPr>
          <w:lang w:val="ru-RU"/>
        </w:rPr>
        <w:t xml:space="preserve">государственную пошлину), а также на изготовление, восстановление и получение любых документов несёт Покупатель. В цену Имущества они не входят и Продавцом не возмещаются.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3. ПЕРЕДАЧА ИМУЩЕСТВА И ПЕРЕХОД ПРАВА СОБСТВЕННОСТИ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3.1. Настоящий Договор одновременно является актом о передаче Имущества. Отдельный акт приёма-передачи не составляется и не подписывается, приложением к Договору не является и течения предусмотренных Договором сроков не определяет.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3.2. Обязанность Продавца по передаче Имущества считается исполненной с момента поступления полной оплаты на счёт, указанный в п. 2.2 Договора, но не ранее даты подписания Договора обеими Сторонами.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Фактический доступ к Имуществу, передача ключей и иных средств доступа, освобождение Имущества от проживающих и иных лиц и от их вещей Продавцом не обеспечиваются и условием </w:t>
      </w:r>
      <w:r>
        <w:rPr>
          <w:lang w:val="ru-RU"/>
        </w:rPr>
        <w:t xml:space="preserve">исполненности</w:t>
      </w:r>
      <w:r>
        <w:rPr>
          <w:lang w:val="ru-RU"/>
        </w:rPr>
        <w:t xml:space="preserve"> его обязанности не являются. Неявка Покупателя, уклонение от принятия Имущества, отсутствие доступа или иное его бездействие на </w:t>
      </w:r>
      <w:r>
        <w:rPr>
          <w:lang w:val="ru-RU"/>
        </w:rPr>
        <w:t xml:space="preserve">исполненность</w:t>
      </w:r>
      <w:r>
        <w:rPr>
          <w:lang w:val="ru-RU"/>
        </w:rPr>
        <w:t xml:space="preserve"> обязанности Продавца не влияют.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3.3. Риск случайной гибели, повреждения, утраты и разрушения Имущества, а так</w:t>
      </w:r>
      <w:r>
        <w:rPr>
          <w:lang w:val="ru-RU"/>
        </w:rPr>
        <w:t xml:space="preserve">же бремя его содержания, включая коммунальные платежи за последующие периоды и взносы на капитальный ремонт за предыдущие и последующие периоды, переходят к Покупателю с момента, указанного в п. 3.2 Договора, независимо от даты государственной регистрации.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Имущество погибло или разрушено до этого момента, обязательства Сторон прекращаются, а уплаченные Покупателем суммы, включая задаток, подлежат возврату.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3.4. Право собственности на Имущество переходит к Покупателю с момента государственной регистрации перехода права.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  <w:t xml:space="preserve">4. НОТАРИАЛЬНОЕ УДОСТОВЕРЕНИЕ, КАДАСТРОВЫЙ УЧЁТ 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И ГОСУДАРСТВЕННАЯ РЕГИСТРАЦИЯ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4.1. В установленных законом случаях Договор подлежит нотариальному удостоверению. Его организацию и все расходы, включая нотариальный тариф, обеспечивает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по своему выбору сообщает Продавцу сведения о лице, на имя которого Продавец выдает доверенность (п. 4.2 Договора), либо за свой счёт организует удостоверение Договора двумя нотариусами б</w:t>
      </w:r>
      <w:r>
        <w:rPr>
          <w:lang w:val="ru-RU"/>
        </w:rPr>
        <w:t xml:space="preserve">ез совместного присутствия сторон (статья 53.1 Основ законодательства Российской Федерации о нотариате) при условии соблюдения требований статьи 56 названных Основ к месту удостоверения. Выбор варианта является правом Покупателя; вызванные его неосуществле</w:t>
      </w:r>
      <w:r>
        <w:rPr>
          <w:lang w:val="ru-RU"/>
        </w:rPr>
        <w:t xml:space="preserve">нием задержки относятся на риск Покупателя и просрочкой Продавца не являются. Бездействие Покупателя, продолжающееся более 15 (пятнадцати) календарных дней с даты получения им проекта Договора, признаётся уклонением от нотариального удостоверения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4.2. Если Покупатель избрал вариант с выдачей доверенности и сообщил Продавцу сведения о лице, на имя которого она подлежит (пп. 4.1 и 4.5 Договора), Продавец обязан выдать доверенность не позднее 10 (десяти) дней с даты получения таких сведений, </w:t>
      </w:r>
      <w:r>
        <w:rPr>
          <w:bCs/>
          <w:lang w:val="ru-RU"/>
        </w:rPr>
        <w:t xml:space="preserve">но не ранее поступления полной оплаты цены Имущества (п. 2.2 Договора) и подтверждения оплаты нотариального тарифа по п. 4.3 Договора.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Доверен</w:t>
      </w:r>
      <w:r>
        <w:rPr>
          <w:lang w:val="ru-RU"/>
        </w:rPr>
        <w:t xml:space="preserve">ность выдаётся в объёме, определяемом её текстом, для представления Продавца у нотариуса и подписания Договора от его имени, а также для совершения регистрационных действий: подачи заявлений о государственном кадастровом учёте и о государственной регистрац</w:t>
      </w:r>
      <w:r>
        <w:rPr>
          <w:lang w:val="ru-RU"/>
        </w:rPr>
        <w:t xml:space="preserve">ии перехода права, получения их результатов и направления заявлений о снятии арестов, запретов и иных ограничений и о погашении записей. Доверенность не даёт полномочий изменять или расторгать Договор, получать денежные средства и распоряжаться Имуществом.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4.3. Нотариальные тарифы за удостоверение Договора нотариусом, к которому обращается Продавец при удостоверении Договора двумя нотариусами без совместного присутствия сторон, и за удостоверение доверенности по п. 4.2 Договора несёт Покупатель.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Продавец сообщает Покупателю размер тарифа и реквизиты для оплат</w:t>
      </w:r>
      <w:r>
        <w:rPr>
          <w:lang w:val="ru-RU"/>
        </w:rPr>
        <w:t xml:space="preserve">ы в течение 3 (трёх) рабочих дней с даты получения соответствующих сведений от нотариуса. Покупатель оплачивает тариф непосредственно нотариусу не позднее 3 (трёх) рабочих дней с даты получения указанных сведений и направляет Продавцу подтверждение оплаты.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До подтверждения оплаты обязанности Продавца, предусмотренные п. 4.2 Договора, а равно обязанность Продавца явиться к нотариусу для удостоверения Договора двумя нотариусами без совместного </w:t>
      </w:r>
      <w:r>
        <w:rPr>
          <w:lang w:val="ru-RU"/>
        </w:rPr>
        <w:t xml:space="preserve">присутствия сторон (п. 5.1 Договора), не возникают; вызванные этим задержки просрочкой Продавца не являются, срока</w:t>
      </w:r>
      <w:r>
        <w:rPr>
          <w:lang w:val="ru-RU"/>
        </w:rPr>
        <w:t xml:space="preserve"> исполнения его обязательств не продлевают и основанием для предъявления Продавцу требований не служат. Просрочка оплаты свыше 15 (пятнадцати) календарных дней приравнивается к уклонению Покупателя от нотариального удостоверения Договора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4.4. Наличие в ЕГРН сведений о местоположении границ земельного участка Покупатель проверяет самостоятельно до подачи заявки на участие в торгах и осведомлён, что при их отсутствии кадастровый учёт и государственная регистрация приостанавливаются.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Необходимые кадастровые работы организует и оплачивает Покупатель. Такое приостановление просрочкой Продавца не является и основанием для уменьшения цены, отказа от Договора или предъявления Продавцу требований не служит.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4.5. Продавец переда</w:t>
      </w:r>
      <w:r>
        <w:rPr>
          <w:lang w:val="ru-RU"/>
        </w:rPr>
        <w:t xml:space="preserve">е</w:t>
      </w:r>
      <w:r>
        <w:rPr>
          <w:lang w:val="ru-RU"/>
        </w:rPr>
        <w:t xml:space="preserve">т Покупателю подписанный экземпляр Договора не позднее 5 (пяти) рабочих дней с даты поступления полной оплаты. Дата получения оригинала Договора подтверждается отч</w:t>
      </w:r>
      <w:r>
        <w:rPr>
          <w:lang w:val="ru-RU"/>
        </w:rPr>
        <w:t xml:space="preserve">ет</w:t>
      </w:r>
      <w:r>
        <w:rPr>
          <w:lang w:val="ru-RU"/>
        </w:rPr>
        <w:t xml:space="preserve">ом об отслеживании почтового отправления либо распиской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Покупатель за свой счёт оплачивает государственную пошлину, подаёт заявление о государственной регистрации перехода права и представляет требуемые документы не </w:t>
      </w:r>
      <w:r>
        <w:rPr>
          <w:lang w:val="ru-RU"/>
        </w:rPr>
        <w:t xml:space="preserve">позднее 10 (десяти) дней с даты получения оригинала Договора. О состоявшейся подаче Покупатель уведомляет Продавца в течение 3 (трёх) дней, направив опись поданных документов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Покупатель этого не сделал, Продавец в течение следующих 10 (десяти) дней подаёт заявление финансового управляющего о переходе права собственности и уведомляет об этом Покупателя.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Если Договор подлежит обязательному нотариальному </w:t>
      </w:r>
      <w:r>
        <w:rPr>
          <w:lang w:val="ru-RU"/>
        </w:rPr>
        <w:t xml:space="preserve">удостоверению, Покупатель в срок, установленный п. 4.1 Договора, определяет порядок удостоверения: либо сообщает Продавцу сведения о лице, на имя которого Продавец выдает доверенность, либо обращается к нотариусу для удостоверения Договора двумя нотариусам</w:t>
      </w:r>
      <w:r>
        <w:rPr>
          <w:lang w:val="ru-RU"/>
        </w:rPr>
        <w:t xml:space="preserve">и без совместного присутствия сторон. О назначенной дате заключения сделки у нотариуса Покупатель уведомляет Продавца в течение 3 (трёх) дней, направив письменное уведомление на электронную почту и (или) мессенджер Продавца, указанные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4.6. Действия Продавца не гарантируют нотариальное удостоверение, кадастровый учёт и государственную регистрацию, их сроки и результат. Причины приостановления и отказа устраняет Покупатель самостоятельно и за свой счёт.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4.7. Покупатель вправе зарегистрировать переход права в судебном порядке в соответствии с Гражданским кодексом Российской Федерации.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5. ОБЯЗАННОСТИ ПРОДАВЦА И МОМЕНТ ИХ ИСПОЛНЕНИЯ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5.1. Обязанности Продавца по Договору исчерпываются следующими действиями: подписать Договор по результатам торгов и совершить одно из следующих действий - подать заяв</w:t>
      </w:r>
      <w:r>
        <w:rPr>
          <w:lang w:val="ru-RU"/>
        </w:rPr>
        <w:t xml:space="preserve">ление финансового управляющего о государственной регистрации перехода права (п. 4.5 Договора), выдать доверенность (п. 4.2 Договора) либо явиться к нотариусу для удостоверения Договора двумя нотариусами без совместного присутствия сторон (п. 4.1 Договора).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5.2. Обязательст</w:t>
      </w:r>
      <w:r>
        <w:rPr>
          <w:lang w:val="ru-RU"/>
        </w:rPr>
        <w:t xml:space="preserve">ва Продавца считаются исполненными в полном объёме и прекращаются исполнением в дату подачи заявления о государственной регистрации перехода права, а если Договор подлежит обязательному нотариальному удостоверению, в дату передачи нотариальной доверенности</w:t>
      </w:r>
      <w:r>
        <w:rPr>
          <w:strike/>
          <w:lang w:val="ru-RU"/>
        </w:rPr>
        <w:t xml:space="preserve">.</w:t>
      </w:r>
      <w:r>
        <w:rPr>
          <w:lang w:val="ru-RU"/>
        </w:rPr>
        <w:t xml:space="preserve"> либо, при удостоверении Договора двумя нотариусами без совместного присутствия сторон, в дату подписания Договора Продавцом у нотариуса (далее - Дата исполнения).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Дата исполнения подтверждается: при подаче заявления о государственной регистрации перехода права - описью поданных документов, распиской органа регистрации прав или многофункционального центра; при выдаче доверенности - отчёт</w:t>
      </w:r>
      <w:r>
        <w:rPr>
          <w:lang w:val="ru-RU"/>
        </w:rPr>
        <w:t xml:space="preserve">ом об отслеживании почтового отправления либо распиской Покупателя о её получении; при удостоверении Договора двумя нотариусами без совместного присутствия сторон - отметкой нотариуса об удостоверении Договора либо сведениями реестра нотариальных действий.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Осуществление кадастрового учёта и государственной регистрации, нотариальное удостоверение Договора, фактическое снятие арестов и иных ограничений, принятие и освобождение Имущества</w:t>
      </w:r>
      <w:r>
        <w:rPr>
          <w:lang w:val="ru-RU"/>
        </w:rPr>
        <w:t xml:space="preserve"> дату</w:t>
      </w:r>
      <w:r>
        <w:rPr>
          <w:lang w:val="ru-RU"/>
        </w:rPr>
        <w:t xml:space="preserve"> исполнения не переносят и её не изменяют.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5.3. Всё, что выходит за пределы п. 5.1 Договора, Покупатель осуществляет самостоятельно и за свой счёт, в том числе на основании доверенности.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5.4. Продавец не отвечает за действия и бездействие Покупателя, должника, лица, у которого Имущество фактически находится, органа регистрации прав, кадастрового инженера, нотариуса, суда, судебного пристава-исполнителя и </w:t>
      </w:r>
      <w:r>
        <w:rPr>
          <w:lang w:val="ru-RU"/>
        </w:rPr>
        <w:t xml:space="preserve">иных органов</w:t>
      </w:r>
      <w:r>
        <w:rPr>
          <w:lang w:val="ru-RU"/>
        </w:rPr>
        <w:t xml:space="preserve"> и лиц; вызванные ими задержки просрочкой Продавца не являются.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6. ОБЯЗАННОСТИ ПОКУПАТЕЛЯ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6.1. Покупатель обязан: </w:t>
      </w:r>
      <w:r>
        <w:rPr>
          <w:lang w:val="ru-RU"/>
        </w:rPr>
        <w:t xml:space="preserve">полностью оплатить Имущество в срок, установленный п. 2.2 Договора; принять Имущество на условиях раздела 3 Договора; обеспечить нотариальное удостоверение Договора в порядке, избранном им по п. 4.1 Договора; совершить и оплатить действия, предусмотренные </w:t>
      </w:r>
      <w:r>
        <w:rPr>
          <w:lang w:val="ru-RU"/>
        </w:rPr>
        <w:t xml:space="preserve">пп</w:t>
      </w:r>
      <w:r>
        <w:rPr>
          <w:lang w:val="ru-RU"/>
        </w:rPr>
        <w:t xml:space="preserve">. 2.3, 4.1, 4.3</w:t>
      </w:r>
      <w:r>
        <w:rPr>
          <w:lang w:val="ru-RU"/>
        </w:rPr>
        <w:t xml:space="preserve">, </w:t>
      </w:r>
      <w:r>
        <w:rPr>
          <w:lang w:val="ru-RU"/>
        </w:rPr>
        <w:t xml:space="preserve">4.4 и 4.5 Договора; самостоятельно и за свой счёт устранять причины приостановления кадастрового учёта и государственной регистрации, а также совершать иные действия согласно п. 5.3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7. ЗАДАТОК, ОТКАЗ ОТ ДОГОВОРА, УВЕДОМЛЕНИЯ И ПРОЧИЕ УСЛОВИЯ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 При непоступлении полной оплаты цены Имущества на счёт, указанный в п. 2.2 Договора, в установленный им срок Договор прекращается по истечении последнего дня этого срока без направления уведомления, без соглашения</w:t>
      </w:r>
      <w:r>
        <w:rPr>
          <w:bCs/>
          <w:lang w:val="ru-RU"/>
        </w:rPr>
        <w:t xml:space="preserve"> Сторон и без обращения в суд. Момент прекращения подтверждается выпиской по указанному счёту. Продавец вправе направить Покупателю сообщение о прекращении Договора; такое сообщение носит информационный характер и на момент прекращения Договора не влияет. 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Денежные</w:t>
      </w:r>
      <w:r>
        <w:rPr>
          <w:bCs/>
          <w:lang w:val="ru-RU"/>
        </w:rPr>
        <w:t xml:space="preserve"> средства, поступившие после прекращения Договора, надлежащим исполнением обязательства по оплате не признаются и возвращаются плательщику в течение 10 (десяти) рабочих дней по реквизитам, указанным в разделе 8 Договора; сумма задатка возврату не подлежит.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bCs/>
          <w:lang w:val="ru-RU"/>
        </w:rPr>
      </w:pPr>
      <w:r>
        <w:rPr>
          <w:bCs/>
          <w:lang w:val="ru-RU"/>
        </w:rPr>
        <w:t xml:space="preserve">7.1.1. При уклонении Покупателя от нотариального удостоверения Договора Продавец вправе отказаться от исполнения Договора во внесудебном одностороннем порядке путём направления письменного уведомления; Договор прекращается</w:t>
      </w:r>
      <w:r>
        <w:rPr>
          <w:bCs/>
          <w:lang w:val="ru-RU"/>
        </w:rPr>
        <w:t xml:space="preserve"> с момента доставки уведомления, определяемого по правилам п. 7.5 Договора. Уплаченные Покупателем суммы, за исключением задатка,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7.2. Покупатель вправе отказаться от исполнения Договора во внесудебном одностороннем порядке путём направления Продавцу письменного уведомления до полной оплаты стоимости по Договору. </w:t>
      </w:r>
      <w:r>
        <w:rPr>
          <w:lang w:val="ru-RU"/>
        </w:rPr>
        <w:t xml:space="preserve">Договор прекращается с момента доставки уведомления.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7.3. Задаток Покупателю не </w:t>
      </w:r>
      <w:r>
        <w:rPr>
          <w:lang w:val="ru-RU"/>
        </w:rPr>
        <w:t xml:space="preserve">возвращается и остаётся у Продавца, поступая в конкурсную массу должника, при: отказе Покупателя от подписания Договора или уклонении от его нотариального удостоверения; неисполнении обязанности по оплате; отказе Покупателя от Договора по п. 7.2 Договора; </w:t>
      </w:r>
      <w:r>
        <w:rPr>
          <w:bCs/>
          <w:lang w:val="ru-RU"/>
        </w:rPr>
        <w:t xml:space="preserve">прекращении Договора по п. 7.1 Договора; отказе Продавца от Договора по п. 7.1.1 Договора.</w:t>
      </w:r>
      <w:r>
        <w:rPr>
          <w:lang w:val="ru-RU"/>
        </w:rPr>
        <w:t xml:space="preserve"> </w:t>
      </w:r>
      <w:r>
        <w:rPr>
          <w:lang w:val="ru-RU"/>
        </w:rPr>
        <w:t xml:space="preserve">Иные уплаченные Покупателем суммы возвращаются ему в течение 10 (десяти) рабочих дней с даты прекращения Договора по реквизитам, указанным в разделе 8 Договора.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7.4. Задаток и иные уплаченные Покупателем суммы подлежат возврату в полном объёме, если: торги признаны недействительными вступившим в законную силу судебным актом либо отменены; Имущество исключено из конкур</w:t>
      </w:r>
      <w:r>
        <w:rPr>
          <w:lang w:val="ru-RU"/>
        </w:rPr>
        <w:t xml:space="preserve">сной массы определением арбитражного суда до государственной регистрации перехода права; Имущество погибло или разрушено до момента, указанного в п. 3.2 Договора; Договор признан недействительным или незаключённым вступившим в законную силу судебным актом.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В этих</w:t>
      </w:r>
      <w:r>
        <w:rPr>
          <w:lang w:val="ru-RU"/>
        </w:rPr>
        <w:t xml:space="preserve"> случаях Договор прекращается, а возврат производится в течение 10 (десяти) рабочих дней с даты наступления соответствующего обстоятельства по реквизитам, указанным в разделе 8 Договора. Иных оснований возврата задатка настоящим Договором не предусмотрено.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7.5. Юридически значимые сообщения направляются по</w:t>
      </w:r>
      <w:r>
        <w:rPr>
          <w:lang w:val="ru-RU"/>
        </w:rPr>
        <w:t xml:space="preserve"> почтовым адресам и адресам электронной почты, указанным в разделе 8 Договора, а также посредством СМС или мессенджера по указанным там номерам при условии сохранения отправителем сведений об отправителе, адресате, дате, времени, тексте и статусе доставки.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Почтовое сообщение считается доставленным и в случае, если оно не вручено или не востребовано по зависящим от адресата обстоятельствам; сообщение по электронной почте, СМС и сообщение мессенджера - в день отправления.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Об изменении своих реквизитов Сторона уведомляет другую в течение 3 (трёх) рабочих дней; до получения уведомления сообщения по прежним реквизитам считаются направленными надлежащим образом.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7.6. Договор вступает в силу с мом</w:t>
      </w:r>
      <w:r>
        <w:rPr>
          <w:lang w:val="ru-RU"/>
        </w:rPr>
        <w:t xml:space="preserve">ента подписания и действует до полного исполнения Сторонами обязательств; обязательства Продавца считаются исполненными в момент, определённый п. 5.2 Договора, и ожидание решений нотариуса, кадастрового инженера, органа регистрации прав, суда или судебного</w:t>
      </w:r>
      <w:r>
        <w:rPr>
          <w:lang w:val="ru-RU"/>
        </w:rPr>
        <w:t xml:space="preserve"> пристава-исполнителя срока их исполнения не продлевает. Изменения и дополнения действительны, если совершены в письменной форме и подписаны Сторонами. Во всём, что не предусмотрено Договором, Стороны руководствуются законодательством Российской Федерации.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7.7. Требования о признании недействительны</w:t>
      </w:r>
      <w:r>
        <w:rPr>
          <w:lang w:val="ru-RU"/>
        </w:rPr>
        <w:t xml:space="preserve">ми торгов и (или) настоящего Договора, а также иные требования, которые в силу закона подлежат рассмотрению в рамках дела о банкротстве, рассматриваются арбитражным судом, в производстве которого находится дело о банкротстве должника. Иные споры разрешаютс</w:t>
      </w:r>
      <w:r>
        <w:rPr>
          <w:lang w:val="ru-RU"/>
        </w:rPr>
        <w:t xml:space="preserve">я путём переговоров (срок ответа на письменную претензию - 10 рабочих дней), а при недостижении согласия рассматриваются судом по месту жительства (месту нахождения) Продавца. Правила исключительной подсудности применяются независимо от настоящего условия.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  <w:t xml:space="preserve">7.8. Договор составлен в 4 (четырёх) экземплярах равной юридической силы - по одному для Продавца, Покупателя, должника и органа регистрации прав.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20" w:line="240" w:lineRule="auto"/>
        <w:ind w:firstLine="567"/>
        <w:contextualSpacing w:val="true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160" w:before="240" w:line="240" w:lineRule="auto"/>
        <w:ind/>
        <w:contextualSpacing w:val="true"/>
        <w:jc w:val="center"/>
        <w:rPr>
          <w:lang w:val="ru-RU"/>
        </w:rPr>
      </w:pPr>
      <w:r>
        <w:rPr>
          <w:b/>
          <w:lang w:val="ru-RU"/>
        </w:rPr>
        <w:t xml:space="preserve">8. АДРЕСА, КОНТАКТЫ И БАНКОВСКИЕ РЕКВИЗИТЫ СТОРОН</w:t>
      </w:r>
      <w:r>
        <w:rPr>
          <w:lang w:val="ru-RU"/>
        </w:rPr>
      </w:r>
      <w:r>
        <w:rPr>
          <w:lang w:val="ru-RU"/>
        </w:rPr>
      </w:r>
    </w:p>
    <w:p>
      <w:pPr>
        <w:pBdr/>
        <w:spacing w:line="240" w:lineRule="auto"/>
        <w:ind/>
        <w:contextualSpacing w:val="true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Ind w:w="-147" w:type="dxa"/>
        <w:tblW w:w="9400" w:type="dxa"/>
        <w:tblCellMar>
          <w:left w:w="10" w:type="dxa"/>
          <w:right w:w="10" w:type="dxa"/>
        </w:tblCellMar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700"/>
        <w:gridCol w:w="4700"/>
      </w:tblGrid>
      <w:tr>
        <w:trPr/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tabs>
                <w:tab w:val="left" w:leader="none" w:pos="210"/>
              </w:tabs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ПРОДАВЕЦ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jc w:val="center"/>
              <w:rPr>
                <w:highlight w:val="yellow"/>
              </w:rPr>
            </w:pPr>
            <w:r>
              <w:rPr>
                <w:b/>
                <w:bCs/>
                <w:highlight w:val="yellow"/>
              </w:rPr>
              <w:t xml:space="preserve">ПОКУПАТЕЛЬ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white"/>
              </w:rPr>
            </w:pPr>
            <w:r>
              <w:rPr>
                <w:b/>
                <w:bCs/>
                <w:highlight w:val="white"/>
                <w:lang w:val="ru-RU"/>
              </w:rPr>
              <w:t xml:space="preserve">Финансовый управляющий</w:t>
            </w:r>
            <w:r>
              <w:rPr>
                <w:b/>
                <w:bCs/>
                <w:highlight w:val="white"/>
              </w:rPr>
            </w:r>
            <w:r>
              <w:rPr>
                <w:b/>
                <w:bCs/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color w:val="000000" w:themeColor="text1"/>
                <w:sz w:val="22"/>
                <w:szCs w:val="22"/>
                <w:highlight w:val="white"/>
              </w:rPr>
              <w:t xml:space="preserve">Тихонова Кристина Алескандровна</w:t>
            </w:r>
            <w:r/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none"/>
                <w:lang w:val="ru-RU"/>
              </w:rPr>
              <w:t xml:space="preserve">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 должника: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СНИЛС: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white"/>
                <w:lang w:val="ru-RU"/>
              </w:rPr>
              <w:t xml:space="preserve">Член СРО: </w:t>
            </w:r>
            <w:r>
              <w:rPr>
                <w:sz w:val="22"/>
                <w:szCs w:val="22"/>
                <w:highlight w:val="white"/>
              </w:rPr>
            </w:r>
            <w:r>
              <w:rPr>
                <w:sz w:val="22"/>
                <w:szCs w:val="22"/>
                <w:highlight w:val="white"/>
              </w:rPr>
              <w:t xml:space="preserve">Союза арбитражных управляющих "ПроРешения" (ИНН 0274390698,  ОГРН 1240200036449, адрес: 123112, г Москва, наб Пресненская, д 12, 3/67)</w:t>
            </w:r>
            <w:r/>
            <w:r>
              <w:rPr>
                <w:highlight w:val="white"/>
                <w:lang w:val="ru-RU"/>
              </w:rPr>
            </w:r>
            <w:r>
              <w:rPr>
                <w:highlight w:val="yellow"/>
                <w:lang w:val="ru-RU"/>
              </w:rPr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Электронная почта: </w:t>
            </w:r>
            <w:r>
              <w:rPr>
                <w:sz w:val="22"/>
                <w:szCs w:val="22"/>
                <w:highlight w:val="white"/>
              </w:rPr>
              <w:t xml:space="preserve">ka.tihonova@arbitrazhrf.ru</w:t>
            </w:r>
            <w:r/>
            <w:r>
              <w:rPr>
                <w:highlight w:val="white"/>
                <w:lang w:val="ru-RU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white"/>
              </w:rPr>
            </w:pPr>
            <w:r>
              <w:rPr>
                <w:highlight w:val="white"/>
                <w:lang w:val="ru-RU"/>
              </w:rPr>
              <w:t xml:space="preserve">Телефон / мессенджер: </w:t>
            </w:r>
            <w:r>
              <w:rPr>
                <w:b w:val="0"/>
                <w:bCs w:val="0"/>
              </w:rPr>
              <w:t xml:space="preserve">89274875169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 (специальный счёт должника):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Ф.И.О.: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Место рождения: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Паспорт: серия         №    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Выдан: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дата выдачи: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Код подразделения: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Адрес регистрации: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Электронная почта: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Телефон / мессенджер: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b/>
                <w:bCs/>
                <w:highlight w:val="yellow"/>
                <w:lang w:val="ru-RU"/>
              </w:rPr>
            </w:pPr>
            <w:r>
              <w:rPr>
                <w:b/>
                <w:bCs/>
                <w:highlight w:val="yellow"/>
                <w:lang w:val="ru-RU"/>
              </w:rPr>
              <w:t xml:space="preserve">Банковские реквизиты:</w:t>
            </w:r>
            <w:r>
              <w:rPr>
                <w:b/>
                <w:bCs/>
                <w:highlight w:val="yellow"/>
                <w:lang w:val="ru-RU"/>
              </w:rPr>
            </w:r>
            <w:r>
              <w:rPr>
                <w:b/>
                <w:bCs/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Получатель: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Счёт №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Банк: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Кор/счет</w:t>
            </w:r>
            <w:r>
              <w:rPr>
                <w:highlight w:val="yellow"/>
                <w:lang w:val="ru-RU"/>
              </w:rPr>
              <w:t xml:space="preserve">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БИК: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ИНН Банка: 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  <w:t xml:space="preserve">КПП Банка:</w:t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</w:tc>
      </w:tr>
      <w:tr>
        <w:trPr>
          <w:cantSplit/>
        </w:trPr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  <w:lang w:val="ru-RU"/>
              </w:rPr>
            </w:pP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  <w:r>
              <w:rPr>
                <w:highlight w:val="yellow"/>
                <w:lang w:val="ru-RU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  <w:t xml:space="preserve">_____________ / ______________</w:t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tcBorders/>
            <w:tcMar>
              <w:left w:w="100" w:type="dxa"/>
              <w:top w:w="60" w:type="dxa"/>
              <w:right w:w="100" w:type="dxa"/>
              <w:bottom w:w="60" w:type="dxa"/>
            </w:tcMar>
            <w:tcW w:w="4700" w:type="dxa"/>
            <w:textDirection w:val="lrTb"/>
            <w:noWrap w:val="false"/>
          </w:tcPr>
          <w:p>
            <w:pPr>
              <w:pBdr/>
              <w:spacing w:after="60" w:line="240" w:lineRule="auto"/>
              <w:ind/>
              <w:contextualSpacing w:val="true"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pBdr/>
              <w:spacing w:after="60" w:line="240" w:lineRule="auto"/>
              <w:ind/>
              <w:contextualSpacing w:val="true"/>
              <w:rPr/>
            </w:pPr>
            <w:r>
              <w:rPr>
                <w:highlight w:val="yellow"/>
              </w:rPr>
              <w:t xml:space="preserve">_____________ / ______________</w:t>
            </w:r>
            <w:r/>
          </w:p>
        </w:tc>
      </w:tr>
    </w:tbl>
    <w:p>
      <w:pPr>
        <w:pBdr/>
        <w:spacing w:line="240" w:lineRule="auto"/>
        <w:ind/>
        <w:contextualSpacing w:val="true"/>
        <w:rPr/>
      </w:pPr>
      <w:r/>
      <w:r/>
    </w:p>
    <w:sectPr>
      <w:footnotePr/>
      <w:endnotePr/>
      <w:type w:val="nextPage"/>
      <w:pgSz w:h="15840" w:orient="portrait" w:w="12240"/>
      <w:pgMar w:top="1134" w:right="900" w:bottom="851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924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923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921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920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922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919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89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8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8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8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50">
    <w:name w:val="Heading 1 Char"/>
    <w:basedOn w:val="894"/>
    <w:link w:val="8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1">
    <w:name w:val="Heading 2 Char"/>
    <w:basedOn w:val="894"/>
    <w:link w:val="8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2">
    <w:name w:val="Heading 3 Char"/>
    <w:basedOn w:val="894"/>
    <w:link w:val="8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3">
    <w:name w:val="Heading 4 Char"/>
    <w:basedOn w:val="894"/>
    <w:link w:val="88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4">
    <w:name w:val="Heading 5 Char"/>
    <w:basedOn w:val="894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5">
    <w:name w:val="Heading 6 Char"/>
    <w:basedOn w:val="894"/>
    <w:link w:val="89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6">
    <w:name w:val="Heading 7 Char"/>
    <w:basedOn w:val="894"/>
    <w:link w:val="89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7">
    <w:name w:val="Heading 8 Char"/>
    <w:basedOn w:val="894"/>
    <w:link w:val="89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8">
    <w:name w:val="Heading 9 Char"/>
    <w:basedOn w:val="894"/>
    <w:link w:val="89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9">
    <w:name w:val="Title Char"/>
    <w:basedOn w:val="894"/>
    <w:link w:val="90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60">
    <w:name w:val="Subtitle Char"/>
    <w:basedOn w:val="894"/>
    <w:link w:val="90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1">
    <w:name w:val="Quote Char"/>
    <w:basedOn w:val="894"/>
    <w:link w:val="93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2">
    <w:name w:val="Intense Quote Char"/>
    <w:basedOn w:val="894"/>
    <w:link w:val="94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3">
    <w:name w:val="Header Char"/>
    <w:basedOn w:val="894"/>
    <w:link w:val="897"/>
    <w:uiPriority w:val="99"/>
    <w:pPr>
      <w:pBdr/>
      <w:spacing/>
      <w:ind/>
    </w:pPr>
  </w:style>
  <w:style w:type="character" w:styleId="864">
    <w:name w:val="Footer Char"/>
    <w:basedOn w:val="894"/>
    <w:link w:val="899"/>
    <w:uiPriority w:val="99"/>
    <w:pPr>
      <w:pBdr/>
      <w:spacing/>
      <w:ind/>
    </w:pPr>
  </w:style>
  <w:style w:type="paragraph" w:styleId="865">
    <w:name w:val="footnote text"/>
    <w:basedOn w:val="884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Footnote Text Char"/>
    <w:basedOn w:val="894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884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Endnote Text Char"/>
    <w:basedOn w:val="894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894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89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89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884"/>
    <w:next w:val="884"/>
    <w:uiPriority w:val="39"/>
    <w:unhideWhenUsed/>
    <w:pPr>
      <w:pBdr/>
      <w:spacing w:after="100"/>
      <w:ind/>
    </w:pPr>
  </w:style>
  <w:style w:type="paragraph" w:styleId="874">
    <w:name w:val="toc 2"/>
    <w:basedOn w:val="884"/>
    <w:next w:val="884"/>
    <w:uiPriority w:val="39"/>
    <w:unhideWhenUsed/>
    <w:pPr>
      <w:pBdr/>
      <w:spacing w:after="100"/>
      <w:ind w:left="220"/>
    </w:pPr>
  </w:style>
  <w:style w:type="paragraph" w:styleId="875">
    <w:name w:val="toc 3"/>
    <w:basedOn w:val="884"/>
    <w:next w:val="884"/>
    <w:uiPriority w:val="39"/>
    <w:unhideWhenUsed/>
    <w:pPr>
      <w:pBdr/>
      <w:spacing w:after="100"/>
      <w:ind w:left="440"/>
    </w:pPr>
  </w:style>
  <w:style w:type="paragraph" w:styleId="876">
    <w:name w:val="toc 4"/>
    <w:basedOn w:val="884"/>
    <w:next w:val="884"/>
    <w:uiPriority w:val="39"/>
    <w:unhideWhenUsed/>
    <w:pPr>
      <w:pBdr/>
      <w:spacing w:after="100"/>
      <w:ind w:left="660"/>
    </w:pPr>
  </w:style>
  <w:style w:type="paragraph" w:styleId="877">
    <w:name w:val="toc 5"/>
    <w:basedOn w:val="884"/>
    <w:next w:val="884"/>
    <w:uiPriority w:val="39"/>
    <w:unhideWhenUsed/>
    <w:pPr>
      <w:pBdr/>
      <w:spacing w:after="100"/>
      <w:ind w:left="880"/>
    </w:pPr>
  </w:style>
  <w:style w:type="paragraph" w:styleId="878">
    <w:name w:val="toc 6"/>
    <w:basedOn w:val="884"/>
    <w:next w:val="884"/>
    <w:uiPriority w:val="39"/>
    <w:unhideWhenUsed/>
    <w:pPr>
      <w:pBdr/>
      <w:spacing w:after="100"/>
      <w:ind w:left="1100"/>
    </w:pPr>
  </w:style>
  <w:style w:type="paragraph" w:styleId="879">
    <w:name w:val="toc 7"/>
    <w:basedOn w:val="884"/>
    <w:next w:val="884"/>
    <w:uiPriority w:val="39"/>
    <w:unhideWhenUsed/>
    <w:pPr>
      <w:pBdr/>
      <w:spacing w:after="100"/>
      <w:ind w:left="1320"/>
    </w:pPr>
  </w:style>
  <w:style w:type="paragraph" w:styleId="880">
    <w:name w:val="toc 8"/>
    <w:basedOn w:val="884"/>
    <w:next w:val="884"/>
    <w:uiPriority w:val="39"/>
    <w:unhideWhenUsed/>
    <w:pPr>
      <w:pBdr/>
      <w:spacing w:after="100"/>
      <w:ind w:left="1540"/>
    </w:pPr>
  </w:style>
  <w:style w:type="paragraph" w:styleId="881">
    <w:name w:val="toc 9"/>
    <w:basedOn w:val="884"/>
    <w:next w:val="884"/>
    <w:uiPriority w:val="39"/>
    <w:unhideWhenUsed/>
    <w:pPr>
      <w:pBdr/>
      <w:spacing w:after="100"/>
      <w:ind w:left="1760"/>
    </w:pPr>
  </w:style>
  <w:style w:type="character" w:styleId="882">
    <w:name w:val="Placeholder Text"/>
    <w:basedOn w:val="894"/>
    <w:uiPriority w:val="99"/>
    <w:semiHidden/>
    <w:pPr>
      <w:pBdr/>
      <w:spacing/>
      <w:ind/>
    </w:pPr>
    <w:rPr>
      <w:color w:val="666666"/>
    </w:rPr>
  </w:style>
  <w:style w:type="paragraph" w:styleId="883">
    <w:name w:val="table of figures"/>
    <w:basedOn w:val="884"/>
    <w:next w:val="884"/>
    <w:uiPriority w:val="99"/>
    <w:unhideWhenUsed/>
    <w:pPr>
      <w:pBdr/>
      <w:spacing w:after="0" w:afterAutospacing="0"/>
      <w:ind/>
    </w:pPr>
  </w:style>
  <w:style w:type="paragraph" w:styleId="884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885">
    <w:name w:val="Heading 1"/>
    <w:basedOn w:val="884"/>
    <w:next w:val="884"/>
    <w:link w:val="902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86">
    <w:name w:val="Heading 2"/>
    <w:basedOn w:val="884"/>
    <w:next w:val="884"/>
    <w:link w:val="903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87">
    <w:name w:val="Heading 3"/>
    <w:basedOn w:val="884"/>
    <w:next w:val="884"/>
    <w:link w:val="904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88">
    <w:name w:val="Heading 4"/>
    <w:basedOn w:val="884"/>
    <w:next w:val="884"/>
    <w:link w:val="932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89">
    <w:name w:val="Heading 5"/>
    <w:basedOn w:val="884"/>
    <w:next w:val="884"/>
    <w:link w:val="933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890">
    <w:name w:val="Heading 6"/>
    <w:basedOn w:val="884"/>
    <w:next w:val="884"/>
    <w:link w:val="934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891">
    <w:name w:val="Heading 7"/>
    <w:basedOn w:val="884"/>
    <w:next w:val="884"/>
    <w:link w:val="935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892">
    <w:name w:val="Heading 8"/>
    <w:basedOn w:val="884"/>
    <w:next w:val="884"/>
    <w:link w:val="9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893">
    <w:name w:val="Heading 9"/>
    <w:basedOn w:val="884"/>
    <w:next w:val="884"/>
    <w:link w:val="9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894" w:default="1">
    <w:name w:val="Default Paragraph Font"/>
    <w:uiPriority w:val="1"/>
    <w:semiHidden/>
    <w:unhideWhenUsed/>
    <w:pPr>
      <w:pBdr/>
      <w:spacing/>
      <w:ind/>
    </w:pPr>
  </w:style>
  <w:style w:type="table" w:styleId="89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6" w:default="1">
    <w:name w:val="No List"/>
    <w:uiPriority w:val="99"/>
    <w:semiHidden/>
    <w:unhideWhenUsed/>
    <w:pPr>
      <w:pBdr/>
      <w:spacing/>
      <w:ind/>
    </w:pPr>
  </w:style>
  <w:style w:type="paragraph" w:styleId="897">
    <w:name w:val="Header"/>
    <w:basedOn w:val="884"/>
    <w:link w:val="898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898" w:customStyle="1">
    <w:name w:val="Верхний колонтитул Знак"/>
    <w:basedOn w:val="894"/>
    <w:link w:val="897"/>
    <w:uiPriority w:val="99"/>
    <w:pPr>
      <w:pBdr/>
      <w:spacing/>
      <w:ind/>
    </w:pPr>
  </w:style>
  <w:style w:type="paragraph" w:styleId="899">
    <w:name w:val="Footer"/>
    <w:basedOn w:val="884"/>
    <w:link w:val="90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900" w:customStyle="1">
    <w:name w:val="Нижний колонтитул Знак"/>
    <w:basedOn w:val="894"/>
    <w:link w:val="899"/>
    <w:uiPriority w:val="99"/>
    <w:pPr>
      <w:pBdr/>
      <w:spacing/>
      <w:ind/>
    </w:pPr>
  </w:style>
  <w:style w:type="paragraph" w:styleId="901">
    <w:name w:val="No Spacing"/>
    <w:uiPriority w:val="1"/>
    <w:qFormat/>
    <w:pPr>
      <w:pBdr/>
      <w:spacing w:after="0" w:line="240" w:lineRule="auto"/>
      <w:ind/>
    </w:pPr>
  </w:style>
  <w:style w:type="character" w:styleId="902" w:customStyle="1">
    <w:name w:val="Заголовок 1 Знак"/>
    <w:basedOn w:val="894"/>
    <w:link w:val="88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903" w:customStyle="1">
    <w:name w:val="Заголовок 2 Знак"/>
    <w:basedOn w:val="894"/>
    <w:link w:val="886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904" w:customStyle="1">
    <w:name w:val="Заголовок 3 Знак"/>
    <w:basedOn w:val="894"/>
    <w:link w:val="88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905">
    <w:name w:val="Title"/>
    <w:basedOn w:val="884"/>
    <w:next w:val="884"/>
    <w:link w:val="906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906" w:customStyle="1">
    <w:name w:val="Заголовок Знак"/>
    <w:basedOn w:val="894"/>
    <w:link w:val="905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907">
    <w:name w:val="Subtitle"/>
    <w:basedOn w:val="884"/>
    <w:next w:val="884"/>
    <w:link w:val="908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908" w:customStyle="1">
    <w:name w:val="Подзаголовок Знак"/>
    <w:basedOn w:val="894"/>
    <w:link w:val="907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909">
    <w:name w:val="List Paragraph"/>
    <w:basedOn w:val="884"/>
    <w:uiPriority w:val="34"/>
    <w:qFormat/>
    <w:pPr>
      <w:pBdr/>
      <w:spacing/>
      <w:ind w:left="720"/>
      <w:contextualSpacing w:val="true"/>
    </w:pPr>
  </w:style>
  <w:style w:type="paragraph" w:styleId="910">
    <w:name w:val="Body Text"/>
    <w:basedOn w:val="884"/>
    <w:link w:val="911"/>
    <w:uiPriority w:val="99"/>
    <w:unhideWhenUsed/>
    <w:pPr>
      <w:pBdr/>
      <w:spacing w:after="120"/>
      <w:ind/>
    </w:pPr>
  </w:style>
  <w:style w:type="character" w:styleId="911" w:customStyle="1">
    <w:name w:val="Основной текст Знак"/>
    <w:basedOn w:val="894"/>
    <w:link w:val="910"/>
    <w:uiPriority w:val="99"/>
    <w:pPr>
      <w:pBdr/>
      <w:spacing/>
      <w:ind/>
    </w:pPr>
  </w:style>
  <w:style w:type="paragraph" w:styleId="912">
    <w:name w:val="Body Text 2"/>
    <w:basedOn w:val="884"/>
    <w:link w:val="913"/>
    <w:uiPriority w:val="99"/>
    <w:unhideWhenUsed/>
    <w:pPr>
      <w:pBdr/>
      <w:spacing w:after="120" w:line="480" w:lineRule="auto"/>
      <w:ind/>
    </w:pPr>
  </w:style>
  <w:style w:type="character" w:styleId="913" w:customStyle="1">
    <w:name w:val="Основной текст 2 Знак"/>
    <w:basedOn w:val="894"/>
    <w:link w:val="912"/>
    <w:uiPriority w:val="99"/>
    <w:pPr>
      <w:pBdr/>
      <w:spacing/>
      <w:ind/>
    </w:pPr>
  </w:style>
  <w:style w:type="paragraph" w:styleId="914">
    <w:name w:val="Body Text 3"/>
    <w:basedOn w:val="884"/>
    <w:link w:val="915"/>
    <w:uiPriority w:val="99"/>
    <w:unhideWhenUsed/>
    <w:pPr>
      <w:pBdr/>
      <w:spacing w:after="120"/>
      <w:ind/>
    </w:pPr>
    <w:rPr>
      <w:sz w:val="16"/>
      <w:szCs w:val="16"/>
    </w:rPr>
  </w:style>
  <w:style w:type="character" w:styleId="915" w:customStyle="1">
    <w:name w:val="Основной текст 3 Знак"/>
    <w:basedOn w:val="894"/>
    <w:link w:val="914"/>
    <w:uiPriority w:val="99"/>
    <w:pPr>
      <w:pBdr/>
      <w:spacing/>
      <w:ind/>
    </w:pPr>
    <w:rPr>
      <w:sz w:val="16"/>
      <w:szCs w:val="16"/>
    </w:rPr>
  </w:style>
  <w:style w:type="paragraph" w:styleId="916">
    <w:name w:val="List"/>
    <w:basedOn w:val="884"/>
    <w:uiPriority w:val="99"/>
    <w:unhideWhenUsed/>
    <w:pPr>
      <w:pBdr/>
      <w:spacing/>
      <w:ind w:hanging="360" w:left="360"/>
      <w:contextualSpacing w:val="true"/>
    </w:pPr>
  </w:style>
  <w:style w:type="paragraph" w:styleId="917">
    <w:name w:val="List 2"/>
    <w:basedOn w:val="884"/>
    <w:uiPriority w:val="99"/>
    <w:unhideWhenUsed/>
    <w:pPr>
      <w:pBdr/>
      <w:spacing/>
      <w:ind w:hanging="360" w:left="720"/>
      <w:contextualSpacing w:val="true"/>
    </w:pPr>
  </w:style>
  <w:style w:type="paragraph" w:styleId="918">
    <w:name w:val="List 3"/>
    <w:basedOn w:val="884"/>
    <w:uiPriority w:val="99"/>
    <w:unhideWhenUsed/>
    <w:pPr>
      <w:pBdr/>
      <w:spacing/>
      <w:ind w:hanging="360" w:left="1080"/>
      <w:contextualSpacing w:val="true"/>
    </w:pPr>
  </w:style>
  <w:style w:type="paragraph" w:styleId="919">
    <w:name w:val="List Bullet"/>
    <w:basedOn w:val="884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920">
    <w:name w:val="List Bullet 2"/>
    <w:basedOn w:val="884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921">
    <w:name w:val="List Bullet 3"/>
    <w:basedOn w:val="884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922">
    <w:name w:val="List Number"/>
    <w:basedOn w:val="884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923">
    <w:name w:val="List Number 2"/>
    <w:basedOn w:val="884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924">
    <w:name w:val="List Number 3"/>
    <w:basedOn w:val="884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925">
    <w:name w:val="List Continue"/>
    <w:basedOn w:val="884"/>
    <w:uiPriority w:val="99"/>
    <w:unhideWhenUsed/>
    <w:pPr>
      <w:pBdr/>
      <w:spacing w:after="120"/>
      <w:ind w:left="360"/>
      <w:contextualSpacing w:val="true"/>
    </w:pPr>
  </w:style>
  <w:style w:type="paragraph" w:styleId="926">
    <w:name w:val="List Continue 2"/>
    <w:basedOn w:val="884"/>
    <w:uiPriority w:val="99"/>
    <w:unhideWhenUsed/>
    <w:pPr>
      <w:pBdr/>
      <w:spacing w:after="120"/>
      <w:ind w:left="720"/>
      <w:contextualSpacing w:val="true"/>
    </w:pPr>
  </w:style>
  <w:style w:type="paragraph" w:styleId="927">
    <w:name w:val="List Continue 3"/>
    <w:basedOn w:val="884"/>
    <w:uiPriority w:val="99"/>
    <w:unhideWhenUsed/>
    <w:pPr>
      <w:pBdr/>
      <w:spacing w:after="120"/>
      <w:ind w:left="1080"/>
      <w:contextualSpacing w:val="true"/>
    </w:pPr>
  </w:style>
  <w:style w:type="paragraph" w:styleId="928">
    <w:name w:val="macro"/>
    <w:link w:val="929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929" w:customStyle="1">
    <w:name w:val="Текст макроса Знак"/>
    <w:basedOn w:val="894"/>
    <w:link w:val="928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930">
    <w:name w:val="Quote"/>
    <w:basedOn w:val="884"/>
    <w:next w:val="884"/>
    <w:link w:val="931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931" w:customStyle="1">
    <w:name w:val="Цитата 2 Знак"/>
    <w:basedOn w:val="894"/>
    <w:link w:val="930"/>
    <w:uiPriority w:val="29"/>
    <w:pPr>
      <w:pBdr/>
      <w:spacing/>
      <w:ind/>
    </w:pPr>
    <w:rPr>
      <w:i/>
      <w:iCs/>
      <w:color w:val="000000" w:themeColor="text1"/>
    </w:rPr>
  </w:style>
  <w:style w:type="character" w:styleId="932" w:customStyle="1">
    <w:name w:val="Заголовок 4 Знак"/>
    <w:basedOn w:val="894"/>
    <w:link w:val="888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933" w:customStyle="1">
    <w:name w:val="Заголовок 5 Знак"/>
    <w:basedOn w:val="894"/>
    <w:link w:val="889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934" w:customStyle="1">
    <w:name w:val="Заголовок 6 Знак"/>
    <w:basedOn w:val="894"/>
    <w:link w:val="890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935" w:customStyle="1">
    <w:name w:val="Заголовок 7 Знак"/>
    <w:basedOn w:val="894"/>
    <w:link w:val="89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936" w:customStyle="1">
    <w:name w:val="Заголовок 8 Знак"/>
    <w:basedOn w:val="894"/>
    <w:link w:val="89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937" w:customStyle="1">
    <w:name w:val="Заголовок 9 Знак"/>
    <w:basedOn w:val="894"/>
    <w:link w:val="89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938">
    <w:name w:val="Caption"/>
    <w:basedOn w:val="884"/>
    <w:next w:val="884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939">
    <w:name w:val="Strong"/>
    <w:basedOn w:val="894"/>
    <w:uiPriority w:val="22"/>
    <w:qFormat/>
    <w:pPr>
      <w:pBdr/>
      <w:spacing/>
      <w:ind/>
    </w:pPr>
    <w:rPr>
      <w:b/>
      <w:bCs/>
    </w:rPr>
  </w:style>
  <w:style w:type="character" w:styleId="940">
    <w:name w:val="Emphasis"/>
    <w:basedOn w:val="894"/>
    <w:uiPriority w:val="20"/>
    <w:qFormat/>
    <w:pPr>
      <w:pBdr/>
      <w:spacing/>
      <w:ind/>
    </w:pPr>
    <w:rPr>
      <w:i/>
      <w:iCs/>
    </w:rPr>
  </w:style>
  <w:style w:type="paragraph" w:styleId="941">
    <w:name w:val="Intense Quote"/>
    <w:basedOn w:val="884"/>
    <w:next w:val="884"/>
    <w:link w:val="942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942" w:customStyle="1">
    <w:name w:val="Выделенная цитата Знак"/>
    <w:basedOn w:val="894"/>
    <w:link w:val="941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943">
    <w:name w:val="Subtle Emphasis"/>
    <w:basedOn w:val="894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944">
    <w:name w:val="Intense Emphasis"/>
    <w:basedOn w:val="894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945">
    <w:name w:val="Subtle Reference"/>
    <w:basedOn w:val="894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946">
    <w:name w:val="Intense Reference"/>
    <w:basedOn w:val="894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947">
    <w:name w:val="Book Title"/>
    <w:basedOn w:val="894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948">
    <w:name w:val="TOC Heading"/>
    <w:basedOn w:val="885"/>
    <w:next w:val="884"/>
    <w:uiPriority w:val="39"/>
    <w:semiHidden/>
    <w:unhideWhenUsed/>
    <w:qFormat/>
    <w:pPr>
      <w:pBdr/>
      <w:spacing/>
      <w:ind/>
      <w:outlineLvl w:val="9"/>
    </w:pPr>
  </w:style>
  <w:style w:type="table" w:styleId="949">
    <w:name w:val="Table Grid"/>
    <w:basedOn w:val="895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ght Shading"/>
    <w:basedOn w:val="895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ght Shading Accent 1"/>
    <w:basedOn w:val="895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ght Shading Accent 2"/>
    <w:basedOn w:val="895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ght Shading Accent 3"/>
    <w:basedOn w:val="895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ght Shading Accent 4"/>
    <w:basedOn w:val="895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ght Shading Accent 5"/>
    <w:basedOn w:val="895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ght Shading Accent 6"/>
    <w:basedOn w:val="895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ght List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ght List Accent 1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ght List Accent 2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ght List Accent 3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ght List Accent 4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ght List Accent 5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ght List Accent 6"/>
    <w:basedOn w:val="895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ght Grid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ght Grid Accent 1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ght Grid Accent 2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ght Grid Accent 3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ght Grid Accent 4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ght Grid Accent 5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ght Grid Accent 6"/>
    <w:basedOn w:val="895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Medium Shading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Medium Shading 1 Accent 1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Medium Shading 1 Accent 2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Medium Shading 1 Accent 3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Medium Shading 1 Accent 4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Medium Shading 1 Accent 5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Medium Shading 1 Accent 6"/>
    <w:basedOn w:val="895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Medium Shading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Medium Shading 2 Accent 1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Medium Shading 2 Accent 2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Medium Shading 2 Accent 3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Medium Shading 2 Accent 4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Medium Shading 2 Accent 5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Medium Shading 2 Accent 6"/>
    <w:basedOn w:val="895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Medium Lis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Medium List 1 Accent 1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Medium List 1 Accent 2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Medium List 1 Accent 3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Medium List 1 Accent 4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Medium List 1 Accent 5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Medium List 1 Accent 6"/>
    <w:basedOn w:val="895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Medium Lis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Medium List 2 Accent 1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Medium List 2 Accent 2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Medium List 2 Accent 3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Medium List 2 Accent 4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Medium List 2 Accent 5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Medium List 2 Accent 6"/>
    <w:basedOn w:val="895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Medium Grid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Medium Grid 1 Accent 1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Medium Grid 1 Accent 2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Medium Grid 1 Accent 3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Medium Grid 1 Accent 4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Medium Grid 1 Accent 5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Medium Grid 1 Accent 6"/>
    <w:basedOn w:val="895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Medium Grid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Medium Grid 2 Accent 1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Medium Grid 2 Accent 2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Medium Grid 2 Accent 3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Medium Grid 2 Accent 4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Medium Grid 2 Accent 5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Medium Grid 2 Accent 6"/>
    <w:basedOn w:val="895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Medium Grid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Medium Grid 3 Accent 1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Medium Grid 3 Accent 2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Medium Grid 3 Accent 3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Medium Grid 3 Accent 4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Medium Grid 3 Accent 5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Medium Grid 3 Accent 6"/>
    <w:basedOn w:val="895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>
    <w:name w:val="Dark List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>
    <w:name w:val="Dark List Accent 1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>
    <w:name w:val="Dark List Accent 2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>
    <w:name w:val="Dark List Accent 3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>
    <w:name w:val="Dark List Accent 4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5">
    <w:name w:val="Dark List Accent 5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6">
    <w:name w:val="Dark List Accent 6"/>
    <w:basedOn w:val="895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7">
    <w:name w:val="Colorful Shading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8">
    <w:name w:val="Colorful Shading Accent 1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9">
    <w:name w:val="Colorful Shading Accent 2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0">
    <w:name w:val="Colorful Shading Accent 3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>
    <w:name w:val="Colorful Shading Accent 4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Colorful Shading Accent 5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Colorful Shading Accent 6"/>
    <w:basedOn w:val="895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Colorful List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Colorful List Accent 1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Colorful List Accent 2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Colorful List Accent 3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>
    <w:name w:val="Colorful List Accent 4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>
    <w:name w:val="Colorful List Accent 5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>
    <w:name w:val="Colorful List Accent 6"/>
    <w:basedOn w:val="895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>
    <w:name w:val="Colorful Grid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>
    <w:name w:val="Colorful Grid Accent 1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>
    <w:name w:val="Colorful Grid Accent 2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Colorful Grid Accent 3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>
    <w:name w:val="Colorful Grid Accent 4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>
    <w:name w:val="Colorful Grid Accent 5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>
    <w:name w:val="Colorful Grid Accent 6"/>
    <w:basedOn w:val="895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5</cp:revision>
  <dcterms:created xsi:type="dcterms:W3CDTF">2026-08-10T10:37:00Z</dcterms:created>
  <dcterms:modified xsi:type="dcterms:W3CDTF">2026-09-15T13:26:47Z</dcterms:modified>
  <cp:category/>
</cp:coreProperties>
</file>