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6095" w:type="dxa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000" w:firstRow="0" w:lastRow="0" w:firstColumn="0" w:lastColumn="0" w:noHBand="0" w:noVBand="0"/>
      </w:tblPr>
      <w:tblGrid>
        <w:gridCol w:w="6095"/>
      </w:tblGrid>
      <w:tr>
        <w:tblPrEx/>
        <w:trPr>
          <w:trHeight w:val="1126"/>
        </w:trPr>
        <w:tc>
          <w:tcPr>
            <w:tcW w:w="6095" w:type="dxa"/>
            <w:textDirection w:val="lrTb"/>
            <w:noWrap w:val="false"/>
          </w:tcPr>
          <w:p>
            <w:pPr>
              <w:pStyle w:val="622"/>
              <w:jc w:val="right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В</w:t>
            </w:r>
            <w:r>
              <w:rPr>
                <w:sz w:val="24"/>
                <w:szCs w:val="24"/>
                <w:lang w:val="en-US"/>
              </w:rPr>
              <w:t xml:space="preserve"> Арбитражный суд Забайкальского края</w:t>
            </w:r>
            <w:r>
              <w:rPr>
                <w:i/>
                <w:sz w:val="24"/>
                <w:szCs w:val="24"/>
                <w:lang w:val="en-US"/>
              </w:rPr>
            </w:r>
          </w:p>
          <w:p>
            <w:pPr>
              <w:pStyle w:val="622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622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От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финансового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управляющего</w:t>
            </w:r>
            <w:r>
              <w:rPr>
                <w:sz w:val="24"/>
                <w:szCs w:val="24"/>
                <w:lang w:val="en-US"/>
              </w:rPr>
              <w:t xml:space="preserve"> Номоконовой Анастасии Семеновны Косточкина Мария Васильевна</w:t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622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</w:tc>
      </w:tr>
    </w:tbl>
    <w:p>
      <w:pPr>
        <w:pStyle w:val="632"/>
        <w:ind w:left="720" w:hanging="720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Положение</w:t>
      </w:r>
      <w:r>
        <w:rPr>
          <w:b/>
          <w:sz w:val="24"/>
          <w:szCs w:val="24"/>
          <w:lang w:val="en-US"/>
        </w:rPr>
      </w:r>
    </w:p>
    <w:p>
      <w:pPr>
        <w:pStyle w:val="632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порядке</w:t>
      </w:r>
      <w:r>
        <w:rPr>
          <w:b/>
          <w:sz w:val="24"/>
          <w:szCs w:val="24"/>
          <w:lang w:val="en-US"/>
        </w:rPr>
        <w:t xml:space="preserve">, </w:t>
      </w:r>
      <w:r>
        <w:rPr>
          <w:b/>
          <w:sz w:val="24"/>
          <w:szCs w:val="24"/>
        </w:rPr>
        <w:t xml:space="preserve">об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условиях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и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сроках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реализации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имущества</w:t>
      </w:r>
      <w:r>
        <w:rPr>
          <w:b/>
          <w:sz w:val="24"/>
          <w:szCs w:val="24"/>
          <w:lang w:val="en-US"/>
        </w:rPr>
        <w:t xml:space="preserve"> Номоконовой Анастасии Семеновны</w:t>
      </w:r>
      <w:r>
        <w:rPr>
          <w:b/>
          <w:sz w:val="24"/>
          <w:szCs w:val="24"/>
          <w:lang w:val="en-US"/>
        </w:rPr>
      </w:r>
    </w:p>
    <w:p>
      <w:pPr>
        <w:pStyle w:val="632"/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(</w:t>
      </w:r>
      <w:r>
        <w:rPr>
          <w:sz w:val="24"/>
          <w:szCs w:val="24"/>
        </w:rPr>
        <w:t xml:space="preserve">дата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рождения</w:t>
      </w:r>
      <w:r>
        <w:rPr>
          <w:sz w:val="24"/>
          <w:szCs w:val="24"/>
          <w:lang w:val="en-US"/>
        </w:rPr>
        <w:t xml:space="preserve">: 21.11.1992, </w:t>
      </w:r>
      <w:r>
        <w:rPr>
          <w:sz w:val="24"/>
          <w:szCs w:val="24"/>
        </w:rPr>
        <w:t xml:space="preserve">место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рождения</w:t>
      </w:r>
      <w:r>
        <w:rPr>
          <w:sz w:val="24"/>
          <w:szCs w:val="24"/>
          <w:lang w:val="en-US"/>
        </w:rPr>
        <w:t xml:space="preserve">: с.Зугадай, Могойтуйский р-н Читинская обл., Россия, </w:t>
      </w:r>
      <w:r>
        <w:rPr>
          <w:sz w:val="24"/>
          <w:szCs w:val="24"/>
        </w:rPr>
        <w:t xml:space="preserve">СНИЛС</w:t>
      </w:r>
      <w:r>
        <w:rPr>
          <w:sz w:val="24"/>
          <w:szCs w:val="24"/>
          <w:lang w:val="en-US"/>
        </w:rPr>
        <w:t xml:space="preserve">: 132-010-187 78, </w:t>
      </w:r>
      <w:r>
        <w:rPr>
          <w:sz w:val="24"/>
          <w:szCs w:val="24"/>
        </w:rPr>
        <w:t xml:space="preserve">ИНН</w:t>
      </w:r>
      <w:r>
        <w:rPr>
          <w:sz w:val="24"/>
          <w:szCs w:val="24"/>
          <w:lang w:val="en-US"/>
        </w:rPr>
        <w:t xml:space="preserve"> 800302788615, </w:t>
      </w:r>
      <w:r>
        <w:rPr>
          <w:sz w:val="24"/>
          <w:szCs w:val="24"/>
        </w:rPr>
        <w:t xml:space="preserve">регистрация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по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месту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жительства</w:t>
      </w:r>
      <w:r>
        <w:rPr>
          <w:sz w:val="24"/>
          <w:szCs w:val="24"/>
          <w:lang w:val="en-US"/>
        </w:rPr>
        <w:t xml:space="preserve">: Забайкальский край, пгт. Могойтуй, ул. Банзарова, д. 22)</w:t>
      </w:r>
      <w:r>
        <w:rPr>
          <w:sz w:val="24"/>
          <w:szCs w:val="24"/>
          <w:lang w:val="en-US"/>
        </w:rPr>
      </w:r>
    </w:p>
    <w:tbl>
      <w:tblPr>
        <w:tblW w:w="9345" w:type="dxa"/>
        <w:jc w:val="center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20"/>
        <w:gridCol w:w="1559"/>
        <w:gridCol w:w="7366"/>
      </w:tblGrid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622"/>
            </w:pPr>
            <w:r>
              <w:t xml:space="preserve">Сведения об имуществе и порядке ознакомления с ним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6" w:type="dxa"/>
            <w:textDirection w:val="lrTb"/>
            <w:noWrap w:val="false"/>
          </w:tcPr>
          <w:tbl>
            <w:tblPr>
              <w:tblW w:w="7590" w:type="dxa"/>
              <w:tblInd w:w="0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490"/>
              <w:gridCol w:w="3093"/>
              <w:gridCol w:w="948"/>
              <w:gridCol w:w="3059"/>
            </w:tblGrid>
            <w:tr>
              <w:tblPrEx/>
              <w:trPr/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90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№ </w:t>
                  </w:r>
                  <w:r>
                    <w:t xml:space="preserve">лота</w:t>
                  </w:r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93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Описание, характеристика имущества</w:t>
                  </w:r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48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59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/>
              <w:trPr/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490" w:type="dxa"/>
                  <w:textDirection w:val="lrTb"/>
                  <w:noWrap w:val="false"/>
                </w:tcPr>
                <w:p>
                  <w:pPr>
                    <w:pStyle w:val="636"/>
                    <w:numPr>
                      <w:ilvl w:val="0"/>
                      <w:numId w:val="1"/>
                    </w:numPr>
                    <w:jc w:val="center"/>
                  </w:pPr>
                  <w:r/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93" w:type="dxa"/>
                  <w:textDirection w:val="lrTb"/>
                  <w:noWrap w:val="false"/>
                </w:tcPr>
                <w:p>
                  <w:pPr>
                    <w:pStyle w:val="1_1456"/>
                    <w:ind w:firstLine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highlight w:val="none"/>
                    </w:rPr>
                  </w:r>
                  <w:r>
                    <w:rPr>
                      <w:sz w:val="20"/>
                      <w:szCs w:val="20"/>
                    </w:rPr>
                    <w:t xml:space="preserve">Земельный участок</w:t>
                    <w:br/>
                    <w:t xml:space="preserve">Кадастровый номер</w:t>
                    <w:br/>
                    <w:t xml:space="preserve">80:02:010104:290</w:t>
                    <w:br/>
                  </w:r>
                  <w:r>
                    <w:rPr>
                      <w:sz w:val="20"/>
                      <w:szCs w:val="20"/>
                    </w:rPr>
                    <w:t xml:space="preserve">Местоположение установлено относительно ориентира, расположенного в границах участка. Почтовый адрес ориентира: Забайкальский край, р-н Могойтуйский, пгт</w:t>
                  </w:r>
                  <w:r>
                    <w:rPr>
                      <w:sz w:val="20"/>
                      <w:szCs w:val="20"/>
                    </w:rPr>
                    <w:t xml:space="preserve">. Могойтуй, ул. А.Днепровского, д. 37.</w:t>
                    <w:br/>
                    <w:t xml:space="preserve">Площадь, м2</w:t>
                    <w:br/>
                    <w:t xml:space="preserve">1262 +/- 12</w:t>
                    <w:br/>
                    <w:t xml:space="preserve">Земли населенных пунктов</w:t>
                    <w:br/>
                    <w:t xml:space="preserve">Виды разреш</w:t>
                  </w:r>
                  <w:r>
                    <w:rPr>
                      <w:sz w:val="20"/>
                      <w:szCs w:val="20"/>
                    </w:rPr>
                    <w:t xml:space="preserve">енного использования</w:t>
                    <w:br/>
                    <w:t xml:space="preserve">Для индивидуального жилищного строительства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22"/>
                    <w:jc w:val="center"/>
                  </w:pPr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948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059" w:type="dxa"/>
                  <w:textDirection w:val="lrTb"/>
                  <w:noWrap w:val="false"/>
                </w:tcPr>
                <w:p>
                  <w:pPr>
                    <w:pStyle w:val="622"/>
                    <w:jc w:val="center"/>
                  </w:pPr>
                  <w:r/>
                  <w:r>
                    <w:t xml:space="preserve">174925</w:t>
                  </w:r>
                  <w:r/>
                  <w:r/>
                  <w:r/>
                </w:p>
              </w:tc>
            </w:tr>
          </w:tbl>
          <w:p>
            <w:pPr>
              <w:pStyle w:val="622"/>
            </w:pPr>
            <w:r>
              <w:t xml:space="preserve">Ознакомление с имуществом производится по адресу: </w:t>
            </w:r>
            <w:r/>
            <w:r>
              <w:t xml:space="preserve">Местоположение установлено относительно ориентира, расположенного в границах участка. Почтовый адрес ориентира: Забайкальский край, р-н Могойтуйский, пгт</w:t>
            </w:r>
            <w:r>
              <w:t xml:space="preserve">. Могойтуй, ул. А.Днепровского, д. 37.</w:t>
            </w:r>
            <w:r/>
            <w:r/>
            <w:r>
              <w:t xml:space="preserve">, с момента публикации сообщ</w:t>
            </w:r>
            <w:r>
              <w:t xml:space="preserve">ения о продаже имущества и до окончания приема заявок по предварительной записи по телефону:</w:t>
            </w:r>
            <w:r>
              <w:t xml:space="preserve"> </w:t>
            </w:r>
            <w:r/>
            <w:r>
              <w:t xml:space="preserve">+79969844090</w:t>
            </w: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2.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622"/>
            </w:pPr>
            <w:r>
              <w:t xml:space="preserve">Сроки продажи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6" w:type="dxa"/>
            <w:textDirection w:val="lrTb"/>
            <w:noWrap w:val="false"/>
          </w:tcPr>
          <w:p>
            <w:pPr>
              <w:pStyle w:val="622"/>
            </w:pPr>
            <w:r>
              <w:t xml:space="preserve">Организовать продажу имущества в течение </w:t>
            </w:r>
            <w:r>
              <w:t xml:space="preserve">15</w:t>
            </w:r>
            <w:r>
              <w:t xml:space="preserve"> со дня утверждения судом настоящего Положения.</w:t>
            </w:r>
            <w:r/>
            <w:r/>
          </w:p>
          <w:p>
            <w:pPr>
              <w:pStyle w:val="622"/>
            </w:pP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3.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622"/>
            </w:pPr>
            <w:r>
              <w:t xml:space="preserve">Организатор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6" w:type="dxa"/>
            <w:textDirection w:val="lrTb"/>
            <w:noWrap w:val="false"/>
          </w:tcPr>
          <w:p>
            <w:pPr>
              <w:pStyle w:val="622"/>
            </w:pPr>
            <w:r>
              <w:t xml:space="preserve">Финансовый управляющий Номоконовой Анастасии Семеновны Косточкина Мария Васильевна, действующий на основании решения Арбитражный суд Забайкальского края от 26.03.2026 г. по делу № № А78-1387/2026</w:t>
            </w:r>
            <w:r/>
          </w:p>
          <w:p>
            <w:pPr>
              <w:pStyle w:val="622"/>
            </w:pPr>
            <w:r>
              <w:t xml:space="preserve">Организатор торгов выполняет следующие функции:</w:t>
            </w:r>
            <w:r/>
          </w:p>
          <w:p>
            <w:pPr>
              <w:pStyle w:val="622"/>
            </w:pPr>
            <w:r>
              <w:t xml:space="preserve">- опубликовывает и размещает сообщение о продаже имущества и сообщение о результатах проведения торгов;</w:t>
            </w:r>
            <w:r/>
          </w:p>
          <w:p>
            <w:pPr>
              <w:pStyle w:val="622"/>
            </w:pPr>
            <w:r>
              <w:t xml:space="preserve">- определяет участников торгов;</w:t>
            </w:r>
            <w:r/>
          </w:p>
          <w:p>
            <w:pPr>
              <w:pStyle w:val="622"/>
            </w:pPr>
            <w:r>
              <w:t xml:space="preserve">- определяет победителя торгов и подписывает протокол о результатах проведения торгов;</w:t>
            </w:r>
            <w:r/>
          </w:p>
          <w:p>
            <w:pPr>
              <w:pStyle w:val="622"/>
            </w:pPr>
            <w:r>
              <w:t xml:space="preserve">- уведомляет заявителей и участников торгов о результатах проведения торгов.</w:t>
            </w:r>
            <w:r/>
          </w:p>
          <w:p>
            <w:pPr>
              <w:pStyle w:val="622"/>
            </w:pPr>
            <w:r>
              <w:t xml:space="preserve">Сведения об организаторе торгов:</w:t>
            </w:r>
            <w:r/>
          </w:p>
          <w:p>
            <w:pPr>
              <w:pStyle w:val="622"/>
            </w:pPr>
            <w:r>
              <w:t xml:space="preserve">- почтовый адрес: 163046, Архангельская область, Архангельск, Воскресенская, 59, 2 этаж</w:t>
            </w:r>
            <w:r/>
          </w:p>
          <w:p>
            <w:pPr>
              <w:pStyle w:val="622"/>
            </w:pPr>
            <w:r>
              <w:t xml:space="preserve">- адрес электронной почты: mkostochkina00@mail.ru</w:t>
            </w:r>
            <w:r/>
          </w:p>
          <w:p>
            <w:pPr>
              <w:pStyle w:val="622"/>
            </w:pPr>
            <w:r>
              <w:t xml:space="preserve">- контактный номер:</w:t>
            </w:r>
            <w:r>
              <w:t xml:space="preserve">+79969844090</w:t>
            </w:r>
            <w:r/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4.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622"/>
            </w:pPr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6" w:type="dxa"/>
            <w:textDirection w:val="lrTb"/>
            <w:noWrap w:val="false"/>
          </w:tcPr>
          <w:p>
            <w:pPr>
              <w:pStyle w:val="622"/>
            </w:pPr>
            <w:r/>
            <w:r>
              <w:t xml:space="preserve">Продажа имущества должника осуществляется путем проведения открытых торгов в форме аукциона с </w:t>
            </w:r>
            <w:r>
              <w:t xml:space="preserve">открытой формой представления предложений о цене имущества.</w:t>
            </w:r>
            <w:r/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5.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622"/>
            </w:pPr>
            <w:r>
              <w:t xml:space="preserve">Место проведения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6" w:type="dxa"/>
            <w:textDirection w:val="lrTb"/>
            <w:noWrap w:val="false"/>
          </w:tcPr>
          <w:p>
            <w:pPr>
              <w:pStyle w:val="622"/>
            </w:pPr>
            <w:r>
              <w:t xml:space="preserve">Торги проводятся в электронной форме на </w:t>
            </w:r>
            <w:r>
              <w:t xml:space="preserve">электронной </w:t>
            </w:r>
            <w:r>
              <w:t xml:space="preserve">площадке «АукционПРО», размещенной на сайте </w:t>
            </w:r>
            <w:hyperlink r:id="rId9" w:tooltip="https://au" w:history="1">
              <w:r>
                <w:rPr>
                  <w:rStyle w:val="624"/>
                </w:rPr>
                <w:t xml:space="preserve">https://</w:t>
              </w:r>
              <w:r>
                <w:rPr>
                  <w:rStyle w:val="624"/>
                </w:rPr>
                <w:t xml:space="preserve">a</w:t>
              </w:r>
              <w:r>
                <w:rPr>
                  <w:rStyle w:val="624"/>
                </w:rPr>
                <w:t xml:space="preserve">u</w:t>
              </w:r>
              <w:r>
                <w:rPr>
                  <w:rStyle w:val="624"/>
                </w:rPr>
              </w:r>
            </w:hyperlink>
            <w:r>
              <w:t xml:space="preserve">-</w:t>
            </w:r>
            <w:r>
              <w:t xml:space="preserve">p</w:t>
            </w:r>
            <w:r>
              <w:t xml:space="preserve">r</w:t>
            </w:r>
            <w:r>
              <w:t xml:space="preserve">o</w:t>
            </w:r>
            <w:r>
              <w:t xml:space="preserve">.ru/ в сети Интернет.</w:t>
            </w:r>
            <w:r/>
            <w:r/>
          </w:p>
          <w:p>
            <w:pPr>
              <w:pStyle w:val="622"/>
            </w:pP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6.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622"/>
            </w:pPr>
            <w:r>
              <w:t xml:space="preserve">Размер задатка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6" w:type="dxa"/>
            <w:textDirection w:val="lrTb"/>
            <w:noWrap w:val="false"/>
          </w:tcPr>
          <w:p>
            <w:pPr>
              <w:pStyle w:val="622"/>
            </w:pPr>
            <w:r>
              <w:t xml:space="preserve">Лот № 1:  от начальной цены.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7.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622"/>
            </w:pPr>
            <w:r>
              <w:t xml:space="preserve">Срок и порядок внесения задатка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6" w:type="dxa"/>
            <w:textDirection w:val="lrTb"/>
            <w:noWrap w:val="false"/>
          </w:tcPr>
          <w:p>
            <w:pPr>
              <w:pStyle w:val="622"/>
            </w:pPr>
            <w:r>
              <w:t xml:space="preserve">1. Срок внесения задатка - </w:t>
            </w:r>
            <w:r>
              <w:t xml:space="preserve">не позднее даты окончания срока приема заявок</w:t>
            </w:r>
            <w:r>
              <w:t xml:space="preserve"> на участие в торгах</w:t>
            </w:r>
            <w:r>
              <w:t xml:space="preserve">. </w:t>
            </w:r>
            <w:r/>
          </w:p>
          <w:p>
            <w:pPr>
              <w:pStyle w:val="622"/>
            </w:pPr>
            <w:r>
              <w:t xml:space="preserve">2. Внесение задатка осуществляется по следующим реквизитам: </w:t>
            </w:r>
            <w:r/>
          </w:p>
          <w:p>
            <w:pPr>
              <w:pStyle w:val="622"/>
            </w:pPr>
            <w:r/>
            <w:r>
              <w:t xml:space="preserve">Валюта получаемого перевода: Российский рубль (RUB)</w:t>
              <w:br/>
              <w:t xml:space="preserve">Получатель: Номоконова Анастасия Семеновна</w:t>
              <w:br/>
              <w:t xml:space="preserve">Номер счёта: 40817810450230780697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</w:t>
            </w:r>
            <w:r>
              <w:t xml:space="preserve">543001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8.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622"/>
            </w:pPr>
            <w:r>
              <w:t xml:space="preserve">Шаг аукциона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6" w:type="dxa"/>
            <w:textDirection w:val="lrTb"/>
            <w:noWrap w:val="false"/>
          </w:tcPr>
          <w:p>
            <w:pPr>
              <w:pStyle w:val="622"/>
            </w:pPr>
            <w:r>
              <w:t xml:space="preserve">Лот № 1:  от начальной цены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9.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622"/>
            </w:pPr>
            <w:r>
              <w:t xml:space="preserve">Сообщение о продаже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6" w:type="dxa"/>
            <w:textDirection w:val="lrTb"/>
            <w:noWrap w:val="false"/>
          </w:tcPr>
          <w:p>
            <w:pPr>
              <w:pStyle w:val="622"/>
              <w:rPr>
                <w14:ligatures w14:val="none"/>
              </w:rPr>
            </w:pPr>
            <w:r>
              <w:t xml:space="preserve">Сообщение о продаже имущества публикуется в газете «Коммерсантъ», а также размещается на Едином федеральном реестре сведен</w:t>
            </w:r>
            <w:r>
              <w:t xml:space="preserve">ий о банкротстве не позднее, чем за 30 дней до даты проведения торгов</w:t>
            </w:r>
            <w:r>
              <w:t xml:space="preserve">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Текст сообщения должен содержать следующие сведения: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сведения о форме проведения торгов и форме представления предложений о цене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порядок, место, срок и время представления заявок на участие в торгах и</w:t>
            </w:r>
            <w:r>
              <w:t xml:space="preserve"> предложений о цене имущества (даты и время начала и окончания представления указанных заявок, дата и время начала предста</w:t>
            </w:r>
            <w:r>
              <w:t xml:space="preserve">вления указанных предложений); 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порядок оформления участия в торгах, перечень представляемых участниками торгов документов и требования к их оформлению;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размер задатка, сроки и порядок внесения задатка, реквизиты счетов, на которые вноси</w:t>
            </w:r>
            <w:r>
              <w:t xml:space="preserve">тся задаток;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начальная цена 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величина повышения начальной цены продажи имущества ("шаг аукциона");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порядок и критерии выявления победит</w:t>
            </w:r>
            <w:r>
              <w:t xml:space="preserve">еля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дата, время и место подведения результатов торгов;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порядок и срок заключения договора купли-продажи имущества;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сроки платежей, реквизиты счетов, на которые вносятся платежи;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  <w:rPr>
                <w14:ligatures w14:val="none"/>
              </w:rPr>
            </w:pPr>
            <w:r>
              <w:t xml:space="preserve">сведения об организаторе торгов, его почтовый адрес, адрес электронной почты, номер контактного телефона.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  <w:p>
            <w:pPr>
              <w:pStyle w:val="622"/>
            </w:pPr>
            <w:r/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10.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622"/>
            </w:pPr>
            <w:r>
              <w:t xml:space="preserve">Заявка на участие в торгах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6" w:type="dxa"/>
            <w:textDirection w:val="lrTb"/>
            <w:noWrap w:val="false"/>
          </w:tcPr>
          <w:p>
            <w:pPr>
              <w:pStyle w:val="622"/>
            </w:pPr>
            <w: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/>
            <w:r/>
          </w:p>
          <w:p>
            <w:pPr>
              <w:pStyle w:val="622"/>
            </w:pPr>
            <w:r>
              <w:t xml:space="preserve">а) наименование, организационно-правовая форма, место нахождения, почтовый адрес заявителя (для юридического лица);</w:t>
            </w:r>
            <w:r/>
            <w:r/>
          </w:p>
          <w:p>
            <w:pPr>
              <w:pStyle w:val="622"/>
            </w:pPr>
            <w:r>
              <w:t xml:space="preserve">б) фамилия, имя, отчество, паспо</w:t>
            </w:r>
            <w:r>
              <w:t xml:space="preserve">ртные данные, сведения о месте жительства заявителя (для физического лица);</w:t>
            </w:r>
            <w:r/>
            <w:r/>
          </w:p>
          <w:p>
            <w:pPr>
              <w:pStyle w:val="622"/>
            </w:pPr>
            <w:r>
              <w:t xml:space="preserve">в) номер контактного телефона, адрес электронной почты заявителя; </w:t>
            </w:r>
            <w:r/>
            <w:r/>
          </w:p>
          <w:p>
            <w:pPr>
              <w:pStyle w:val="622"/>
            </w:pPr>
            <w:r>
              <w:t xml:space="preserve">г) сведения о наличии или об отсутствии заинтересованности заявителя по отношению к должнику, кредиторам</w:t>
            </w:r>
            <w:r>
              <w:t xml:space="preserve">, арбит</w:t>
            </w:r>
            <w:r>
              <w:t xml:space="preserve">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/>
            <w:r/>
          </w:p>
          <w:p>
            <w:pPr>
              <w:pStyle w:val="622"/>
            </w:pPr>
            <w: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  <w:r/>
            <w:r/>
          </w:p>
          <w:p>
            <w:pPr>
              <w:pStyle w:val="622"/>
            </w:pPr>
            <w:r>
              <w:t xml:space="preserve">Для участия в от</w:t>
            </w:r>
            <w:r>
              <w:t xml:space="preserve">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</w:t>
            </w:r>
            <w:r>
              <w:t xml:space="preserve">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</w:t>
            </w:r>
            <w:r>
              <w:t xml:space="preserve">тся акцептом д</w:t>
            </w:r>
            <w:r>
              <w:t xml:space="preserve">оговора о задатке.</w:t>
            </w:r>
            <w:r/>
            <w:r/>
          </w:p>
          <w:p>
            <w:pPr>
              <w:pStyle w:val="622"/>
            </w:pPr>
            <w:r>
              <w:t xml:space="preserve">Заявит</w:t>
            </w:r>
            <w:r>
              <w:t xml:space="preserve">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  <w:r/>
            <w:r/>
          </w:p>
          <w:p>
            <w:pPr>
              <w:pStyle w:val="622"/>
            </w:pPr>
            <w:r>
              <w:t xml:space="preserve"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  <w:r/>
            <w:r/>
          </w:p>
          <w:p>
            <w:pPr>
              <w:pStyle w:val="622"/>
            </w:pPr>
            <w:r>
              <w:t xml:space="preserve">В течение тридцати мин</w:t>
            </w:r>
            <w:r>
              <w:t xml:space="preserve">ут с момента представления заявки на участие в торгах такая заявка с помощью программно-аппа</w:t>
            </w:r>
            <w:r>
              <w:t xml:space="preserve">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  <w:r/>
            <w:r/>
          </w:p>
          <w:p>
            <w:pPr>
              <w:pStyle w:val="622"/>
            </w:pP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11.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622"/>
            </w:pPr>
            <w:r>
              <w:t xml:space="preserve">Срок представления заявок на участие в торгах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6" w:type="dxa"/>
            <w:textDirection w:val="lrTb"/>
            <w:noWrap w:val="false"/>
          </w:tcPr>
          <w:p>
            <w:pPr>
              <w:pStyle w:val="622"/>
            </w:pPr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12.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622"/>
            </w:pPr>
            <w:r>
              <w:t xml:space="preserve">Определение участников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6" w:type="dxa"/>
            <w:textDirection w:val="lrTb"/>
            <w:noWrap w:val="false"/>
          </w:tcPr>
          <w:p>
            <w:pPr>
              <w:pStyle w:val="6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участию в торгах допускаются лица, своевременно подавшие заявку на участие в торгах и обеспечившие поступление задатка на счет до даты составления протокола об определении участников торгов. </w:t>
            </w:r>
            <w:r>
              <w:rPr>
                <w:sz w:val="20"/>
                <w:szCs w:val="20"/>
              </w:rPr>
            </w:r>
          </w:p>
          <w:p>
            <w:pPr>
              <w:pStyle w:val="6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Протокол об определении участников торгов оформляется не позднее пяти календарных дней после окончания срока представления заявок на участие в торгах. </w:t>
            </w:r>
            <w:r>
              <w:rPr>
                <w:sz w:val="20"/>
                <w:szCs w:val="20"/>
              </w:rPr>
            </w:r>
          </w:p>
          <w:p>
            <w:pPr>
              <w:pStyle w:val="622"/>
            </w:pPr>
            <w:r>
              <w:t xml:space="preserve">В течение пяти календ</w:t>
            </w:r>
            <w:r>
              <w:t xml:space="preserve">арных дней со дня подписания протокола об определении участников торгов организатор торгов посредством программно-аппаратных средств сайта ЭП направляет каждому заявителю, чья заявка зарегистрирована в журнале заявок на участие в торгах и не отозвана до ок</w:t>
            </w:r>
            <w:r>
              <w:t xml:space="preserve">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 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13.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622"/>
            </w:pPr>
            <w:r>
              <w:t xml:space="preserve">Порядок проведения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6" w:type="dxa"/>
            <w:textDirection w:val="lrTb"/>
            <w:noWrap w:val="false"/>
          </w:tcPr>
          <w:p>
            <w:pPr>
              <w:pStyle w:val="6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проводятся на электронной площадке в день и время, указанные в сообщении о продаже, путем повышения начальной цены продажи имущества на «шаг аукциона». </w:t>
            </w:r>
            <w:r>
              <w:rPr>
                <w:sz w:val="20"/>
                <w:szCs w:val="20"/>
              </w:rPr>
            </w:r>
          </w:p>
          <w:p>
            <w:pPr>
              <w:pStyle w:val="6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Предложения о цене заявляются участниками торгов открыто на электронной площадке в ходе проведения торгов. </w:t>
            </w:r>
            <w:r>
              <w:rPr>
                <w:sz w:val="20"/>
                <w:szCs w:val="20"/>
              </w:rPr>
            </w:r>
          </w:p>
          <w:p>
            <w:pPr>
              <w:pStyle w:val="6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</w:t>
            </w:r>
            <w:r>
              <w:rPr>
                <w:sz w:val="20"/>
                <w:szCs w:val="20"/>
              </w:rPr>
              <w:t xml:space="preserve">рги завершаются, если в течение одного часа с момента начала представления предложений о цене не поступило ни одного предложения о цене или если в течение тридцати минут после представления последнего предложения о цене не поступило следующее предложение. </w:t>
            </w:r>
            <w:r>
              <w:rPr>
                <w:sz w:val="20"/>
                <w:szCs w:val="20"/>
              </w:rPr>
            </w:r>
          </w:p>
          <w:p>
            <w:pPr>
              <w:pStyle w:val="6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Победителем аукциона признается участник торгов, предложивший наиболее высокую цену. </w:t>
            </w:r>
            <w:r>
              <w:rPr>
                <w:sz w:val="20"/>
                <w:szCs w:val="20"/>
              </w:rPr>
            </w:r>
          </w:p>
          <w:p>
            <w:pPr>
              <w:pStyle w:val="622"/>
            </w:pPr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14.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622"/>
            </w:pPr>
            <w:r>
              <w:t xml:space="preserve">Подведение результатов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6" w:type="dxa"/>
            <w:textDirection w:val="lrTb"/>
            <w:noWrap w:val="false"/>
          </w:tcPr>
          <w:p>
            <w:pPr>
              <w:pStyle w:val="622"/>
            </w:pPr>
            <w:r>
              <w:t xml:space="preserve">Результаты торгов подводятся путем оформления протокола о результатах проведения торгов или решения о признании торгов несостоявшимися. 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622"/>
            </w:pPr>
            <w:r>
              <w:t xml:space="preserve">Порядок и срок заключения договора купли-продажи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6" w:type="dxa"/>
            <w:textDirection w:val="lrTb"/>
            <w:noWrap w:val="false"/>
          </w:tcPr>
          <w:p>
            <w:pPr>
              <w:pStyle w:val="622"/>
            </w:pPr>
            <w:r>
              <w:t xml:space="preserve">В течение пяти дней</w:t>
            </w:r>
            <w:r>
              <w:t xml:space="preserve">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622"/>
            </w:pPr>
            <w: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pPr>
              <w:pStyle w:val="622"/>
            </w:pPr>
            <w:r>
              <w:t xml:space="preserve"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</w:t>
            </w:r>
            <w:r>
              <w:t xml:space="preserve">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622"/>
            </w:pPr>
            <w:r>
              <w:t xml:space="preserve">Условия возврата задатка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6" w:type="dxa"/>
            <w:textDirection w:val="lrTb"/>
            <w:noWrap w:val="false"/>
          </w:tcPr>
          <w:p>
            <w:pPr>
              <w:pStyle w:val="622"/>
            </w:pPr>
            <w:r>
              <w:t xml:space="preserve"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622"/>
            </w:pPr>
            <w:r>
              <w:t xml:space="preserve">Условия оплаты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6" w:type="dxa"/>
            <w:textDirection w:val="lrTb"/>
            <w:noWrap w:val="false"/>
          </w:tcPr>
          <w:p>
            <w:pPr>
              <w:pStyle w:val="622"/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</w:t>
            </w:r>
            <w:r/>
          </w:p>
          <w:p>
            <w:pPr>
              <w:pStyle w:val="622"/>
            </w:pPr>
            <w:r/>
            <w:r>
              <w:t xml:space="preserve">Валюта получаемого перевода: Российский рубль (RUB)</w:t>
              <w:br/>
              <w:t xml:space="preserve">Получатель: Номоконова Анастасия Семеновна</w:t>
              <w:br/>
              <w:t xml:space="preserve">Номер счёта: 40817810450230780697</w:t>
              <w:br/>
              <w:t xml:space="preserve">Банк получателя: ФИЛИАЛ "ЦЕНТРАЛЬНЫЙ" ПАО "СОВКОМБАНК"</w:t>
              <w:br/>
              <w:t xml:space="preserve">БИК: 045004763</w:t>
              <w:br/>
              <w:t xml:space="preserve">Корр. счёт: 30101810150040000763</w:t>
              <w:br/>
              <w:t xml:space="preserve">ИНН: 4401116480</w:t>
              <w:br/>
              <w:t xml:space="preserve">КПП: 544</w:t>
            </w:r>
            <w:r>
              <w:t xml:space="preserve">543001</w:t>
            </w:r>
            <w:r/>
            <w:r/>
            <w:r/>
            <w:r/>
            <w:r/>
          </w:p>
          <w:p>
            <w:pPr>
              <w:pStyle w:val="622"/>
            </w:pPr>
            <w:r>
              <w:t xml:space="preserve">При 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622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6" w:type="dxa"/>
            <w:textDirection w:val="lrTb"/>
            <w:noWrap w:val="false"/>
          </w:tcPr>
          <w:p>
            <w:pPr>
              <w:pStyle w:val="622"/>
            </w:pPr>
            <w:r>
              <w:t xml:space="preserve">Обязательными условиями договора купли-продажи имущества являются:</w:t>
            </w:r>
            <w:r/>
          </w:p>
          <w:p>
            <w:pPr>
              <w:pStyle w:val="622"/>
            </w:pPr>
            <w:r>
              <w:t xml:space="preserve">сведения об имуществе, его составе, характеристиках, описание имущества;</w:t>
            </w:r>
            <w:r/>
          </w:p>
          <w:p>
            <w:pPr>
              <w:pStyle w:val="622"/>
            </w:pPr>
            <w:r>
              <w:t xml:space="preserve">цена продажи имущества;</w:t>
            </w:r>
            <w:r/>
          </w:p>
          <w:p>
            <w:pPr>
              <w:pStyle w:val="622"/>
            </w:pPr>
            <w:r>
              <w:t xml:space="preserve">порядок и срок передачи имущества покупателю;</w:t>
            </w:r>
            <w:r/>
          </w:p>
          <w:p>
            <w:pPr>
              <w:pStyle w:val="622"/>
            </w:pPr>
            <w:r>
              <w:t xml:space="preserve">сведения о наличии или об отсутствии обременении в отношении имущества, в том числе публичного сервитута;</w:t>
            </w:r>
            <w:r/>
          </w:p>
          <w:p>
            <w:pPr>
              <w:pStyle w:val="622"/>
            </w:pPr>
            <w:r>
              <w:t xml:space="preserve">иные предусмотренные законодательством Российской Федерации условия.</w:t>
            </w:r>
            <w:r/>
          </w:p>
          <w:p>
            <w:pPr>
              <w:pStyle w:val="622"/>
            </w:pPr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10" w:tooltip="consultantplus://offline/ref=C170E87E5106903B2C2693164E83ABCA2276C913842C8ACC75FF6C560D0667AC2FE2ED39A0D15019R9r5M" w:history="1">
              <w:r>
                <w:rPr>
                  <w:rStyle w:val="624"/>
                  <w:color w:val="auto"/>
                  <w:u w:val="none"/>
                </w:rPr>
                <w:t xml:space="preserve">законодательством</w:t>
              </w:r>
            </w:hyperlink>
            <w:r>
              <w:t xml:space="preserve"> Российской Федерации.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622"/>
            </w:pPr>
            <w:r>
              <w:t xml:space="preserve">Проведение повторных торгов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6" w:type="dxa"/>
            <w:textDirection w:val="lrTb"/>
            <w:noWrap w:val="false"/>
          </w:tcPr>
          <w:p>
            <w:pPr>
              <w:pStyle w:val="622"/>
            </w:pPr>
            <w:r>
              <w:t xml:space="preserve">В случае признания торгов несостоявшимися и незаключения договора купли-продаж</w:t>
            </w:r>
            <w:r>
              <w:t xml:space="preserve">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</w:t>
            </w:r>
            <w:r>
              <w:t xml:space="preserve">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  <w:r/>
          </w:p>
          <w:p>
            <w:pPr>
              <w:pStyle w:val="622"/>
            </w:pPr>
            <w:r>
              <w:t xml:space="preserve">Повторные торги проводятся в соответствии с условиями проведения первоначальных торгов.</w:t>
            </w:r>
            <w:r/>
          </w:p>
          <w:p>
            <w:pPr>
              <w:pStyle w:val="622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  <w:r/>
          </w:p>
        </w:tc>
      </w:tr>
      <w:tr>
        <w:tblPrEx/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0" w:type="dxa"/>
            <w:textDirection w:val="lrTb"/>
            <w:noWrap w:val="false"/>
          </w:tcPr>
          <w:p>
            <w:pPr>
              <w:pStyle w:val="622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622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6" w:type="dxa"/>
            <w:textDirection w:val="lrTb"/>
            <w:noWrap w:val="false"/>
          </w:tcPr>
          <w:p>
            <w:pPr>
              <w:pStyle w:val="622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  <w:r/>
          </w:p>
          <w:p>
            <w:pPr>
              <w:pStyle w:val="622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  <w:r/>
          </w:p>
          <w:p>
            <w:pPr>
              <w:pStyle w:val="622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  <w:r/>
          </w:p>
          <w:p>
            <w:pPr>
              <w:pStyle w:val="622"/>
            </w:pPr>
            <w:r>
              <w:t xml:space="preserve">Величина снижения начальной цены продажи имущества должника - 10 %.</w:t>
            </w:r>
            <w:r/>
            <w:r/>
          </w:p>
          <w:p>
            <w:pPr>
              <w:pStyle w:val="622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  <w:r/>
          </w:p>
          <w:p>
            <w:pPr>
              <w:pStyle w:val="622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  <w:r/>
          </w:p>
          <w:p>
            <w:pPr>
              <w:pStyle w:val="622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  <w:r/>
          </w:p>
          <w:p>
            <w:pPr>
              <w:pStyle w:val="622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  <w:r/>
          </w:p>
          <w:p>
            <w:pPr>
              <w:pStyle w:val="622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  <w:r/>
          </w:p>
          <w:p>
            <w:pPr>
              <w:pStyle w:val="622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  <w:r/>
          </w:p>
          <w:p>
            <w:pPr>
              <w:pStyle w:val="622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  <w:r/>
          </w:p>
          <w:p>
            <w:pPr>
              <w:pStyle w:val="622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  <w:r/>
          </w:p>
          <w:p>
            <w:pPr>
              <w:pStyle w:val="622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  <w:r/>
          </w:p>
          <w:p>
            <w:pPr>
              <w:pStyle w:val="622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22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  <w:r/>
          </w:p>
          <w:p>
            <w:pPr>
              <w:pStyle w:val="622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  <w:r/>
          </w:p>
          <w:p>
            <w:pPr>
              <w:pStyle w:val="622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22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  <w:r/>
          </w:p>
          <w:p>
            <w:pPr>
              <w:pStyle w:val="622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  <w:r/>
          </w:p>
          <w:p>
            <w:pPr>
              <w:pStyle w:val="622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  <w:r/>
          </w:p>
          <w:p>
            <w:pPr>
              <w:pStyle w:val="622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  <w:r/>
          </w:p>
          <w:p>
            <w:pPr>
              <w:pStyle w:val="622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  <w:r/>
          </w:p>
          <w:p>
            <w:pPr>
              <w:pStyle w:val="622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  <w:r/>
          </w:p>
          <w:p>
            <w:pPr>
              <w:pStyle w:val="622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  <w:r/>
          </w:p>
          <w:p>
            <w:pPr>
              <w:pStyle w:val="622"/>
            </w:pPr>
            <w:r/>
          </w:p>
        </w:tc>
      </w:tr>
    </w:tbl>
    <w:p>
      <w:pPr>
        <w:pStyle w:val="622"/>
      </w:pPr>
      <w:r/>
      <w:r/>
    </w:p>
    <w:p>
      <w:pPr>
        <w:pStyle w:val="622"/>
        <w:jc w:val="both"/>
      </w:pPr>
      <w:r/>
      <w:r/>
    </w:p>
    <w:p>
      <w:pPr>
        <w:pStyle w:val="622"/>
        <w:ind w:left="-567"/>
        <w:jc w:val="both"/>
      </w:pPr>
      <w:r>
        <w:t xml:space="preserve">Все иные условия проведения торгов про продаже имущества, не указанные в настоящем </w:t>
      </w:r>
      <w:r>
        <w:t xml:space="preserve">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</w:t>
      </w:r>
      <w:r>
        <w:t xml:space="preserve">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</w:t>
      </w:r>
      <w: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/>
    </w:p>
    <w:p>
      <w:pPr>
        <w:pStyle w:val="633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3"/>
        <w:gridCol w:w="64"/>
        <w:gridCol w:w="4648"/>
      </w:tblGrid>
      <w:tr>
        <w:tblPrEx/>
        <w:trPr/>
        <w:tc>
          <w:tcPr>
            <w:tcW w:w="4643" w:type="dxa"/>
            <w:textDirection w:val="lrTb"/>
            <w:noWrap w:val="false"/>
          </w:tcPr>
          <w:p>
            <w:pPr>
              <w:pStyle w:val="622"/>
            </w:pPr>
            <w:r/>
            <w:r/>
          </w:p>
          <w:p>
            <w:pPr>
              <w:pStyle w:val="622"/>
              <w:rPr>
                <w:lang w:val="en-US"/>
              </w:rPr>
            </w:pPr>
            <w:r>
              <w:t xml:space="preserve">Финансовый</w:t>
            </w:r>
            <w:r>
              <w:rPr>
                <w:lang w:val="en-US"/>
              </w:rPr>
              <w:t xml:space="preserve"> </w:t>
            </w:r>
            <w:r>
              <w:t xml:space="preserve">управляющий</w:t>
            </w:r>
            <w:r>
              <w:rPr>
                <w:bCs/>
                <w:lang w:val="en-US"/>
              </w:rPr>
              <w:br/>
            </w:r>
            <w:r>
              <w:rPr>
                <w:lang w:val="en-US"/>
              </w:rPr>
              <w:t xml:space="preserve">Номоконовой Анастасии Семеновны</w:t>
            </w:r>
            <w:r>
              <w:rPr>
                <w:lang w:val="en-US"/>
              </w:rPr>
            </w:r>
          </w:p>
        </w:tc>
        <w:tc>
          <w:tcPr>
            <w:tcW w:w="64" w:type="dxa"/>
            <w:vAlign w:val="center"/>
            <w:textDirection w:val="lrTb"/>
            <w:noWrap w:val="false"/>
          </w:tcPr>
          <w:p>
            <w:pPr>
              <w:pStyle w:val="622"/>
              <w:rPr>
                <w:lang w:val="en-US"/>
              </w:rPr>
            </w:pPr>
            <w:r>
              <w:rPr>
                <w:lang w:val="en-US"/>
              </w:rPr>
              <w:t xml:space="preserve"> </w:t>
            </w:r>
            <w:r>
              <w:rPr>
                <w:lang w:val="en-US"/>
              </w:rPr>
            </w:r>
          </w:p>
        </w:tc>
        <w:tc>
          <w:tcPr>
            <w:tcW w:w="4648" w:type="dxa"/>
            <w:textDirection w:val="lrTb"/>
            <w:noWrap w:val="false"/>
          </w:tcPr>
          <w:p>
            <w:pPr>
              <w:pStyle w:val="634"/>
              <w:jc w:val="right"/>
              <w:spacing w:before="240" w:after="240"/>
              <w:rPr>
                <w:sz w:val="20"/>
                <w:szCs w:val="20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2" behindDoc="0" locked="0" layoutInCell="0" allowOverlap="1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93345</wp:posOffset>
                      </wp:positionV>
                      <wp:extent cx="471170" cy="613410"/>
                      <wp:effectExtent l="0" t="0" r="0" b="0"/>
                      <wp:wrapSquare wrapText="bothSides"/>
                      <wp:docPr id="1" name="Изображение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Изображение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71170" cy="61341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;o:allowoverlap:true;o:allowincell:false;mso-position-horizontal-relative:text;margin-left:10.45pt;mso-position-horizontal:absolute;mso-position-vertical-relative:text;margin-top:7.35pt;mso-position-vertical:absolute;width:37.10pt;height:48.30pt;mso-wrap-distance-left:0.00pt;mso-wrap-distance-top:0.00pt;mso-wrap-distance-right:0.00pt;mso-wrap-distance-bottom:0.00pt;" stroked="false">
                      <v:path textboxrect="0,0,0,0"/>
                      <w10:wrap type="square"/>
                      <v:imagedata r:id="rId11" o:title=""/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М.В. Косточкина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22"/>
        <w:jc w:val="both"/>
      </w:pPr>
      <w:r/>
      <w:r/>
    </w:p>
    <w:p>
      <w:pPr>
        <w:pStyle w:val="622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Arial Unicode MS">
    <w:panose1 w:val="020B06040202020202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righ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13">
    <w:name w:val="No List"/>
    <w:uiPriority w:val="99"/>
    <w:semiHidden/>
    <w:unhideWhenUsed/>
  </w:style>
  <w:style w:type="paragraph" w:styleId="14">
    <w:name w:val="Heading 1"/>
    <w:basedOn w:val="622"/>
    <w:next w:val="62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3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2"/>
    <w:next w:val="62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3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2"/>
    <w:next w:val="62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3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2"/>
    <w:next w:val="62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3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2"/>
    <w:next w:val="62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3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2"/>
    <w:next w:val="62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3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2"/>
    <w:next w:val="62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3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2"/>
    <w:next w:val="62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3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2"/>
    <w:next w:val="62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3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2"/>
    <w:next w:val="62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3"/>
    <w:link w:val="35"/>
    <w:uiPriority w:val="10"/>
    <w:rPr>
      <w:sz w:val="48"/>
      <w:szCs w:val="48"/>
    </w:rPr>
  </w:style>
  <w:style w:type="paragraph" w:styleId="37">
    <w:name w:val="Subtitle"/>
    <w:basedOn w:val="622"/>
    <w:next w:val="62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3"/>
    <w:link w:val="37"/>
    <w:uiPriority w:val="11"/>
    <w:rPr>
      <w:sz w:val="24"/>
      <w:szCs w:val="24"/>
    </w:rPr>
  </w:style>
  <w:style w:type="paragraph" w:styleId="39">
    <w:name w:val="Quote"/>
    <w:basedOn w:val="622"/>
    <w:next w:val="62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2"/>
    <w:next w:val="62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2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3"/>
    <w:link w:val="43"/>
    <w:uiPriority w:val="99"/>
  </w:style>
  <w:style w:type="paragraph" w:styleId="45">
    <w:name w:val="Footer"/>
    <w:basedOn w:val="62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3"/>
    <w:link w:val="45"/>
    <w:uiPriority w:val="99"/>
  </w:style>
  <w:style w:type="character" w:styleId="48">
    <w:name w:val="Caption Char"/>
    <w:basedOn w:val="623"/>
    <w:link w:val="62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2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3"/>
    <w:uiPriority w:val="99"/>
    <w:unhideWhenUsed/>
    <w:rPr>
      <w:vertAlign w:val="superscript"/>
    </w:rPr>
  </w:style>
  <w:style w:type="paragraph" w:styleId="179">
    <w:name w:val="endnote text"/>
    <w:basedOn w:val="62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3"/>
    <w:uiPriority w:val="99"/>
    <w:semiHidden/>
    <w:unhideWhenUsed/>
    <w:rPr>
      <w:vertAlign w:val="superscript"/>
    </w:rPr>
  </w:style>
  <w:style w:type="paragraph" w:styleId="182">
    <w:name w:val="toc 1"/>
    <w:basedOn w:val="622"/>
    <w:next w:val="62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2"/>
    <w:next w:val="62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2"/>
    <w:next w:val="62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2"/>
    <w:next w:val="62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2"/>
    <w:next w:val="62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2"/>
    <w:next w:val="62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2"/>
    <w:next w:val="62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2"/>
    <w:next w:val="62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2"/>
    <w:next w:val="62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2"/>
    <w:next w:val="622"/>
    <w:uiPriority w:val="99"/>
    <w:unhideWhenUsed/>
    <w:pPr>
      <w:spacing w:after="0" w:afterAutospacing="0"/>
    </w:pPr>
  </w:style>
  <w:style w:type="paragraph" w:styleId="622" w:default="1">
    <w:name w:val="Normal"/>
    <w:qFormat/>
    <w:pPr>
      <w:jc w:val="left"/>
      <w:spacing w:before="0" w:after="0"/>
      <w:widowControl w:val="off"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character" w:styleId="623" w:default="1">
    <w:name w:val="Default Paragraph Font"/>
    <w:uiPriority w:val="1"/>
    <w:unhideWhenUsed/>
    <w:qFormat/>
  </w:style>
  <w:style w:type="character" w:styleId="624">
    <w:name w:val="Hyperlink"/>
    <w:uiPriority w:val="99"/>
    <w:unhideWhenUsed/>
    <w:rPr>
      <w:color w:val="0000ff"/>
      <w:u w:val="single"/>
    </w:rPr>
  </w:style>
  <w:style w:type="paragraph" w:styleId="625">
    <w:name w:val="Заголовок"/>
    <w:basedOn w:val="622"/>
    <w:next w:val="626"/>
    <w:qFormat/>
    <w:pPr>
      <w:keepNext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626">
    <w:name w:val="Body Text"/>
    <w:basedOn w:val="622"/>
    <w:pPr>
      <w:spacing w:before="0" w:after="140" w:line="276" w:lineRule="auto"/>
    </w:pPr>
  </w:style>
  <w:style w:type="paragraph" w:styleId="627">
    <w:name w:val="List"/>
    <w:basedOn w:val="626"/>
    <w:rPr>
      <w:rFonts w:cs="Arial Unicode MS"/>
    </w:rPr>
  </w:style>
  <w:style w:type="paragraph" w:styleId="628">
    <w:name w:val="Caption"/>
    <w:basedOn w:val="622"/>
    <w:qFormat/>
    <w:pPr>
      <w:spacing w:before="120" w:after="120"/>
      <w:suppressLineNumbers/>
    </w:pPr>
    <w:rPr>
      <w:rFonts w:cs="Arial Unicode MS"/>
      <w:i/>
      <w:iCs/>
      <w:sz w:val="24"/>
      <w:szCs w:val="24"/>
    </w:rPr>
  </w:style>
  <w:style w:type="paragraph" w:styleId="629">
    <w:name w:val="Указатель"/>
    <w:basedOn w:val="622"/>
    <w:qFormat/>
    <w:pPr>
      <w:suppressLineNumbers/>
    </w:pPr>
    <w:rPr>
      <w:rFonts w:cs="Arial Unicode MS"/>
    </w:rPr>
  </w:style>
  <w:style w:type="paragraph" w:styleId="630">
    <w:name w:val="Заголовок (user)"/>
    <w:basedOn w:val="622"/>
    <w:next w:val="626"/>
    <w:qFormat/>
    <w:pPr>
      <w:keepNext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631">
    <w:name w:val="Указатель (user)"/>
    <w:basedOn w:val="622"/>
    <w:qFormat/>
    <w:pPr>
      <w:suppressLineNumbers/>
    </w:pPr>
    <w:rPr>
      <w:rFonts w:cs="Arial Unicode MS"/>
    </w:rPr>
  </w:style>
  <w:style w:type="paragraph" w:styleId="632" w:customStyle="1">
    <w:name w:val="Обычный1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633" w:customStyle="1">
    <w:name w:val="ConsPlusNonformat"/>
    <w:qFormat/>
    <w:pPr>
      <w:jc w:val="left"/>
      <w:spacing w:before="0" w:after="0"/>
      <w:widowControl w:val="off"/>
    </w:pPr>
    <w:rPr>
      <w:rFonts w:ascii="Courier New" w:hAnsi="Courier New" w:eastAsia="Times New Roman" w:cs="Courier New"/>
      <w:color w:val="auto"/>
      <w:sz w:val="20"/>
      <w:szCs w:val="20"/>
      <w:lang w:val="ru-RU" w:eastAsia="ru-RU" w:bidi="ar-SA"/>
    </w:rPr>
  </w:style>
  <w:style w:type="paragraph" w:styleId="634" w:customStyle="1">
    <w:name w:val="Обычный (веб)"/>
    <w:basedOn w:val="622"/>
    <w:qFormat/>
    <w:pPr>
      <w:spacing w:before="240" w:after="240"/>
      <w:widowControl/>
    </w:pPr>
    <w:rPr>
      <w:sz w:val="24"/>
      <w:szCs w:val="24"/>
    </w:rPr>
  </w:style>
  <w:style w:type="paragraph" w:styleId="635" w:customStyle="1">
    <w:name w:val="Default"/>
    <w:qFormat/>
    <w:pPr>
      <w:jc w:val="left"/>
      <w:spacing w:before="0" w:after="0"/>
      <w:widowControl/>
    </w:pPr>
    <w:rPr>
      <w:rFonts w:ascii="Times New Roman" w:hAnsi="Times New Roman" w:eastAsia="Calibri" w:cs="Times New Roman"/>
      <w:color w:val="000000"/>
      <w:sz w:val="24"/>
      <w:szCs w:val="24"/>
      <w:lang w:val="ru-RU" w:eastAsia="ru-RU" w:bidi="ar-SA"/>
    </w:rPr>
  </w:style>
  <w:style w:type="paragraph" w:styleId="636">
    <w:name w:val="List Paragraph"/>
    <w:basedOn w:val="622"/>
    <w:uiPriority w:val="34"/>
    <w:qFormat/>
    <w:pPr>
      <w:contextualSpacing/>
      <w:ind w:left="720"/>
      <w:spacing w:before="0" w:after="0"/>
    </w:pPr>
  </w:style>
  <w:style w:type="numbering" w:styleId="637" w:default="1">
    <w:name w:val="Без списка (user)"/>
    <w:uiPriority w:val="99"/>
    <w:semiHidden/>
    <w:unhideWhenUsed/>
    <w:qFormat/>
  </w:style>
  <w:style w:type="table" w:styleId="638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639">
    <w:name w:val="Table Grid"/>
    <w:basedOn w:val="638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_1456" w:customStyle="1">
    <w:name w:val="indent"/>
    <w:basedOn w:val="684"/>
    <w:pPr>
      <w:contextualSpacing w:val="0"/>
      <w:ind w:left="0" w:right="0" w:firstLine="708"/>
      <w:jc w:val="both"/>
      <w:keepLines w:val="0"/>
      <w:keepNext w:val="0"/>
      <w:pageBreakBefore w:val="0"/>
      <w:spacing w:before="12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au" TargetMode="External"/><Relationship Id="rId10" Type="http://schemas.openxmlformats.org/officeDocument/2006/relationships/hyperlink" Target="consultantplus://offline/ref=C170E87E5106903B2C2693164E83ABCA2276C913842C8ACC75FF6C560D0667AC2FE2ED39A0D15019R9r5M" TargetMode="External"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dc:language>ru-RU</dc:language>
  <cp:lastModifiedBy>alesh</cp:lastModifiedBy>
  <cp:revision>22</cp:revision>
  <dcterms:created xsi:type="dcterms:W3CDTF">2024-09-06T16:05:00Z</dcterms:created>
  <dcterms:modified xsi:type="dcterms:W3CDTF">2026-08-31T13:35:11Z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