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6095" w:type="dxa"/>
        <w:jc w:val="right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000" w:firstRow="0" w:lastRow="0" w:firstColumn="0" w:lastColumn="0" w:noHBand="0" w:noVBand="0"/>
      </w:tblPr>
      <w:tblGrid>
        <w:gridCol w:w="6095"/>
      </w:tblGrid>
      <w:tr>
        <w:tblPrEx/>
        <w:trPr>
          <w:trHeight w:val="1126"/>
        </w:trPr>
        <w:tc>
          <w:tcPr>
            <w:tcW w:w="6095" w:type="dxa"/>
            <w:textDirection w:val="lrTb"/>
            <w:noWrap w:val="false"/>
          </w:tcPr>
          <w:p>
            <w:pPr>
              <w:pStyle w:val="622"/>
              <w:jc w:val="right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В</w:t>
            </w:r>
            <w:r>
              <w:rPr>
                <w:sz w:val="24"/>
                <w:szCs w:val="24"/>
                <w:lang w:val="en-US"/>
              </w:rPr>
              <w:t xml:space="preserve"> Арбитражный суд Республики Хакасия</w:t>
            </w:r>
            <w:r>
              <w:rPr>
                <w:i/>
                <w:sz w:val="24"/>
                <w:szCs w:val="24"/>
                <w:lang w:val="en-US"/>
              </w:rPr>
            </w:r>
          </w:p>
          <w:p>
            <w:pPr>
              <w:pStyle w:val="622"/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622"/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От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 xml:space="preserve">финансового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 xml:space="preserve">управляющего</w:t>
            </w:r>
            <w:r>
              <w:rPr>
                <w:sz w:val="24"/>
                <w:szCs w:val="24"/>
                <w:lang w:val="en-US"/>
              </w:rPr>
              <w:t xml:space="preserve"> Дорджиева Александра Александровича Косточкина Мария Васильевна</w:t>
            </w: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622"/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</w:tc>
      </w:tr>
    </w:tbl>
    <w:p>
      <w:pPr>
        <w:pStyle w:val="632"/>
        <w:ind w:left="720" w:hanging="720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Положение</w:t>
      </w:r>
      <w:r>
        <w:rPr>
          <w:b/>
          <w:sz w:val="24"/>
          <w:szCs w:val="24"/>
          <w:lang w:val="en-US"/>
        </w:rPr>
      </w:r>
    </w:p>
    <w:p>
      <w:pPr>
        <w:pStyle w:val="632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о</w:t>
      </w:r>
      <w:r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 xml:space="preserve">порядке</w:t>
      </w:r>
      <w:r>
        <w:rPr>
          <w:b/>
          <w:sz w:val="24"/>
          <w:szCs w:val="24"/>
          <w:lang w:val="en-US"/>
        </w:rPr>
        <w:t xml:space="preserve">, </w:t>
      </w:r>
      <w:r>
        <w:rPr>
          <w:b/>
          <w:sz w:val="24"/>
          <w:szCs w:val="24"/>
        </w:rPr>
        <w:t xml:space="preserve">об</w:t>
      </w:r>
      <w:r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 xml:space="preserve">условиях</w:t>
      </w:r>
      <w:r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 xml:space="preserve">и</w:t>
      </w:r>
      <w:r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 xml:space="preserve">о</w:t>
      </w:r>
      <w:r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 xml:space="preserve">сроках</w:t>
      </w:r>
      <w:r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 xml:space="preserve">реализации</w:t>
      </w:r>
      <w:r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 xml:space="preserve">имущества</w:t>
      </w:r>
      <w:r>
        <w:rPr>
          <w:b/>
          <w:sz w:val="24"/>
          <w:szCs w:val="24"/>
          <w:lang w:val="en-US"/>
        </w:rPr>
        <w:t xml:space="preserve"> Дорджиева Александра Александровича</w:t>
      </w:r>
      <w:r>
        <w:rPr>
          <w:b/>
          <w:sz w:val="24"/>
          <w:szCs w:val="24"/>
          <w:lang w:val="en-US"/>
        </w:rPr>
      </w:r>
    </w:p>
    <w:p>
      <w:pPr>
        <w:pStyle w:val="632"/>
        <w:jc w:val="center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(</w:t>
      </w:r>
      <w:r>
        <w:rPr>
          <w:sz w:val="24"/>
          <w:szCs w:val="24"/>
        </w:rPr>
        <w:t xml:space="preserve">дата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 xml:space="preserve">рождения</w:t>
      </w:r>
      <w:r>
        <w:rPr>
          <w:sz w:val="24"/>
          <w:szCs w:val="24"/>
          <w:lang w:val="en-US"/>
        </w:rPr>
        <w:t xml:space="preserve">: 05.05.1960, </w:t>
      </w:r>
      <w:r>
        <w:rPr>
          <w:sz w:val="24"/>
          <w:szCs w:val="24"/>
        </w:rPr>
        <w:t xml:space="preserve">место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 xml:space="preserve">рождения</w:t>
      </w:r>
      <w:r>
        <w:rPr>
          <w:sz w:val="24"/>
          <w:szCs w:val="24"/>
          <w:lang w:val="en-US"/>
        </w:rPr>
        <w:t xml:space="preserve">: пос.Коммунар Ширинского р-на Красноярского края, </w:t>
      </w:r>
      <w:r>
        <w:rPr>
          <w:sz w:val="24"/>
          <w:szCs w:val="24"/>
        </w:rPr>
        <w:t xml:space="preserve">СНИЛС</w:t>
      </w:r>
      <w:r>
        <w:rPr>
          <w:sz w:val="24"/>
          <w:szCs w:val="24"/>
          <w:lang w:val="en-US"/>
        </w:rPr>
        <w:t xml:space="preserve">: 066-754-543 98, </w:t>
      </w:r>
      <w:r>
        <w:rPr>
          <w:sz w:val="24"/>
          <w:szCs w:val="24"/>
        </w:rPr>
        <w:t xml:space="preserve">ИНН</w:t>
      </w:r>
      <w:r>
        <w:rPr>
          <w:sz w:val="24"/>
          <w:szCs w:val="24"/>
          <w:lang w:val="en-US"/>
        </w:rPr>
        <w:t xml:space="preserve"> 191100338123, </w:t>
      </w:r>
      <w:r>
        <w:rPr>
          <w:sz w:val="24"/>
          <w:szCs w:val="24"/>
        </w:rPr>
        <w:t xml:space="preserve">регистрация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 xml:space="preserve">по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 xml:space="preserve">месту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 xml:space="preserve">жительства</w:t>
      </w:r>
      <w:r>
        <w:rPr>
          <w:sz w:val="24"/>
          <w:szCs w:val="24"/>
          <w:lang w:val="en-US"/>
        </w:rPr>
        <w:t xml:space="preserve">: 655200, Республика Хакасия, с. Шира, ул. Кравченко, д. 19)</w:t>
      </w:r>
      <w:r>
        <w:rPr>
          <w:sz w:val="24"/>
          <w:szCs w:val="24"/>
          <w:lang w:val="en-US"/>
        </w:rPr>
      </w:r>
    </w:p>
    <w:tbl>
      <w:tblPr>
        <w:tblW w:w="9345" w:type="dxa"/>
        <w:jc w:val="center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62"/>
        <w:gridCol w:w="964"/>
        <w:gridCol w:w="7819"/>
      </w:tblGrid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622"/>
            </w:pPr>
            <w:r>
              <w:t xml:space="preserve">Сведения об имуществе и порядке ознакомления с ним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tbl>
            <w:tblPr>
              <w:tblW w:w="7590" w:type="dxa"/>
              <w:tblInd w:w="0" w:type="dxa"/>
              <w:tblLayout w:type="fixed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490"/>
              <w:gridCol w:w="3093"/>
              <w:gridCol w:w="948"/>
              <w:gridCol w:w="3059"/>
            </w:tblGrid>
            <w:tr>
              <w:tblPrEx/>
              <w:trPr/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90" w:type="dxa"/>
                  <w:textDirection w:val="lrTb"/>
                  <w:noWrap w:val="false"/>
                </w:tcPr>
                <w:p>
                  <w:pPr>
                    <w:pStyle w:val="622"/>
                    <w:jc w:val="center"/>
                  </w:pPr>
                  <w:r>
                    <w:t xml:space="preserve">№ </w:t>
                  </w:r>
                  <w:r>
                    <w:t xml:space="preserve">лота</w:t>
                  </w:r>
                  <w:r/>
                </w:p>
              </w:tc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093" w:type="dxa"/>
                  <w:textDirection w:val="lrTb"/>
                  <w:noWrap w:val="false"/>
                </w:tcPr>
                <w:p>
                  <w:pPr>
                    <w:pStyle w:val="622"/>
                    <w:jc w:val="center"/>
                  </w:pPr>
                  <w:r>
                    <w:t xml:space="preserve">Описание, характеристика имущества</w:t>
                  </w:r>
                  <w:r/>
                </w:p>
              </w:tc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948" w:type="dxa"/>
                  <w:textDirection w:val="lrTb"/>
                  <w:noWrap w:val="false"/>
                </w:tcPr>
                <w:p>
                  <w:pPr>
                    <w:pStyle w:val="622"/>
                    <w:jc w:val="center"/>
                  </w:pPr>
                  <w:r>
                    <w:t xml:space="preserve">Количество</w:t>
                  </w:r>
                  <w:r/>
                </w:p>
              </w:tc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059" w:type="dxa"/>
                  <w:textDirection w:val="lrTb"/>
                  <w:noWrap w:val="false"/>
                </w:tcPr>
                <w:p>
                  <w:pPr>
                    <w:pStyle w:val="622"/>
                    <w:jc w:val="center"/>
                  </w:pPr>
                  <w:r>
                    <w:t xml:space="preserve">Начальная цена, руб.</w:t>
                  </w:r>
                  <w:r/>
                </w:p>
              </w:tc>
            </w:tr>
            <w:tr>
              <w:tblPrEx/>
              <w:trPr/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90" w:type="dxa"/>
                  <w:textDirection w:val="lrTb"/>
                  <w:noWrap w:val="false"/>
                </w:tcPr>
                <w:p>
                  <w:pPr>
                    <w:pStyle w:val="636"/>
                    <w:numPr>
                      <w:ilvl w:val="0"/>
                      <w:numId w:val="1"/>
                    </w:numPr>
                    <w:jc w:val="center"/>
                  </w:pPr>
                  <w:r/>
                  <w:r/>
                </w:p>
              </w:tc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093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Прицеп марки: 7197-0000010-01 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Год выпуска: 2021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Государственный регистрационный знак: АК190В19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Идентификационный номер: ХК</w:t>
                  </w:r>
                  <w:r>
                    <w:rPr>
                      <w:sz w:val="20"/>
                      <w:szCs w:val="20"/>
                    </w:rPr>
                    <w:t xml:space="preserve">Z</w:t>
                  </w:r>
                  <w:r>
                    <w:rPr>
                      <w:sz w:val="20"/>
                      <w:szCs w:val="20"/>
                    </w:rPr>
                    <w:t xml:space="preserve">7</w:t>
                  </w: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  <w:t xml:space="preserve">9</w:t>
                  </w:r>
                  <w:r>
                    <w:rPr>
                      <w:sz w:val="20"/>
                      <w:szCs w:val="20"/>
                    </w:rPr>
                    <w:t xml:space="preserve">7</w:t>
                  </w: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  <w:t xml:space="preserve">A</w:t>
                  </w:r>
                  <w:r>
                    <w:rPr>
                      <w:sz w:val="20"/>
                      <w:szCs w:val="20"/>
                    </w:rPr>
                    <w:t xml:space="preserve">M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  <w:t xml:space="preserve">4</w:t>
                  </w:r>
                  <w:r>
                    <w:rPr>
                      <w:sz w:val="20"/>
                      <w:szCs w:val="20"/>
                    </w:rPr>
                    <w:t xml:space="preserve">8</w:t>
                  </w:r>
                  <w:r>
                    <w:rPr>
                      <w:sz w:val="20"/>
                      <w:szCs w:val="20"/>
                    </w:rPr>
                    <w:t xml:space="preserve">7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Тип ТС: Прицеп к легковому автомобилю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Шасси (рама) №: </w:t>
                  </w:r>
                  <w:r>
                    <w:rPr>
                      <w:sz w:val="20"/>
                      <w:szCs w:val="20"/>
                    </w:rPr>
                    <w:t xml:space="preserve">ХК</w:t>
                  </w:r>
                  <w:r>
                    <w:rPr>
                      <w:sz w:val="20"/>
                      <w:szCs w:val="20"/>
                    </w:rPr>
                    <w:t xml:space="preserve">Z</w:t>
                  </w:r>
                  <w:r>
                    <w:rPr>
                      <w:sz w:val="20"/>
                      <w:szCs w:val="20"/>
                    </w:rPr>
                    <w:t xml:space="preserve">7</w:t>
                  </w: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  <w:t xml:space="preserve">9</w:t>
                  </w:r>
                  <w:r>
                    <w:rPr>
                      <w:sz w:val="20"/>
                      <w:szCs w:val="20"/>
                    </w:rPr>
                    <w:t xml:space="preserve">7</w:t>
                  </w: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  <w:t xml:space="preserve">A</w:t>
                  </w:r>
                  <w:r>
                    <w:rPr>
                      <w:sz w:val="20"/>
                      <w:szCs w:val="20"/>
                    </w:rPr>
                    <w:t xml:space="preserve">M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  <w:t xml:space="preserve">4</w:t>
                  </w:r>
                  <w:r>
                    <w:rPr>
                      <w:sz w:val="20"/>
                      <w:szCs w:val="20"/>
                    </w:rPr>
                    <w:t xml:space="preserve">8</w:t>
                  </w:r>
                  <w:r>
                    <w:rPr>
                      <w:sz w:val="20"/>
                      <w:szCs w:val="20"/>
                    </w:rPr>
                    <w:t xml:space="preserve">7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Кузов: ОТСУТСТВУЕТ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 Цвет кузова: СЕРЫЙ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Разрешенная максимальная масса, кг: 750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Масса без нагрузки, кг: 1</w:t>
                  </w:r>
                  <w:r>
                    <w:rPr>
                      <w:sz w:val="20"/>
                      <w:szCs w:val="20"/>
                    </w:rPr>
                    <w:t xml:space="preserve">70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Прицеп марки: 7197-0000010-01 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Год выпуска: 2021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Государственный регистрационный знак: АК190В19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Идентификационный номер: ХК</w:t>
                  </w:r>
                  <w:r>
                    <w:rPr>
                      <w:sz w:val="20"/>
                      <w:szCs w:val="20"/>
                    </w:rPr>
                    <w:t xml:space="preserve">Z</w:t>
                  </w:r>
                  <w:r>
                    <w:rPr>
                      <w:sz w:val="20"/>
                      <w:szCs w:val="20"/>
                    </w:rPr>
                    <w:t xml:space="preserve">7</w:t>
                  </w: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  <w:t xml:space="preserve">9</w:t>
                  </w:r>
                  <w:r>
                    <w:rPr>
                      <w:sz w:val="20"/>
                      <w:szCs w:val="20"/>
                    </w:rPr>
                    <w:t xml:space="preserve">7</w:t>
                  </w: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  <w:t xml:space="preserve">A</w:t>
                  </w:r>
                  <w:r>
                    <w:rPr>
                      <w:sz w:val="20"/>
                      <w:szCs w:val="20"/>
                    </w:rPr>
                    <w:t xml:space="preserve">M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  <w:t xml:space="preserve">4</w:t>
                  </w:r>
                  <w:r>
                    <w:rPr>
                      <w:sz w:val="20"/>
                      <w:szCs w:val="20"/>
                    </w:rPr>
                    <w:t xml:space="preserve">8</w:t>
                  </w:r>
                  <w:r>
                    <w:rPr>
                      <w:sz w:val="20"/>
                      <w:szCs w:val="20"/>
                    </w:rPr>
                    <w:t xml:space="preserve">7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Тип ТС: Прицеп к легковому автомобилю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Шасси (рама) №: </w:t>
                  </w:r>
                  <w:r>
                    <w:rPr>
                      <w:sz w:val="20"/>
                      <w:szCs w:val="20"/>
                    </w:rPr>
                    <w:t xml:space="preserve">ХК</w:t>
                  </w:r>
                  <w:r>
                    <w:rPr>
                      <w:sz w:val="20"/>
                      <w:szCs w:val="20"/>
                    </w:rPr>
                    <w:t xml:space="preserve">Z</w:t>
                  </w:r>
                  <w:r>
                    <w:rPr>
                      <w:sz w:val="20"/>
                      <w:szCs w:val="20"/>
                    </w:rPr>
                    <w:t xml:space="preserve">7</w:t>
                  </w: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  <w:t xml:space="preserve">9</w:t>
                  </w:r>
                  <w:r>
                    <w:rPr>
                      <w:sz w:val="20"/>
                      <w:szCs w:val="20"/>
                    </w:rPr>
                    <w:t xml:space="preserve">7</w:t>
                  </w: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  <w:t xml:space="preserve">A</w:t>
                  </w:r>
                  <w:r>
                    <w:rPr>
                      <w:sz w:val="20"/>
                      <w:szCs w:val="20"/>
                    </w:rPr>
                    <w:t xml:space="preserve">M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  <w:t xml:space="preserve">4</w:t>
                  </w:r>
                  <w:r>
                    <w:rPr>
                      <w:sz w:val="20"/>
                      <w:szCs w:val="20"/>
                    </w:rPr>
                    <w:t xml:space="preserve">8</w:t>
                  </w:r>
                  <w:r>
                    <w:rPr>
                      <w:sz w:val="20"/>
                      <w:szCs w:val="20"/>
                    </w:rPr>
                    <w:t xml:space="preserve">7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Кузов: ОТСУТСТВУЕТ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 Цвет кузова: СЕРЫЙ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Разрешенная максимальная масса, кг: 750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Масса без нагрузки, кг: 1</w:t>
                  </w:r>
                  <w:r>
                    <w:rPr>
                      <w:sz w:val="20"/>
                      <w:szCs w:val="20"/>
                    </w:rPr>
                    <w:t xml:space="preserve">70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22"/>
                    <w:jc w:val="center"/>
                  </w:pPr>
                  <w:r/>
                  <w:r/>
                </w:p>
              </w:tc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948" w:type="dxa"/>
                  <w:textDirection w:val="lrTb"/>
                  <w:noWrap w:val="false"/>
                </w:tcPr>
                <w:p>
                  <w:pPr>
                    <w:pStyle w:val="622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059" w:type="dxa"/>
                  <w:textDirection w:val="lrTb"/>
                  <w:noWrap w:val="false"/>
                </w:tcPr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t xml:space="preserve">87 875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22"/>
                    <w:jc w:val="center"/>
                  </w:pPr>
                  <w:r/>
                  <w:r/>
                </w:p>
              </w:tc>
            </w:tr>
          </w:tbl>
          <w:p>
            <w:pPr>
              <w:pStyle w:val="622"/>
            </w:pPr>
            <w:r/>
            <w:bookmarkStart w:id="0" w:name="_Hlk76551188"/>
            <w:r/>
            <w:bookmarkStart w:id="1" w:name="_Hlk71279784"/>
            <w:r>
              <w:rPr>
                <w:bCs/>
                <w:sz w:val="22"/>
                <w:szCs w:val="22"/>
              </w:rPr>
              <w:t xml:space="preserve">С имуществом, являющимся предметом торгов, и имеющимися в отношении этого имущества правоустанавливающими документами можно ознакомиться </w:t>
            </w:r>
            <w:bookmarkEnd w:id="1"/>
            <w:r>
              <w:rPr>
                <w:bCs/>
                <w:sz w:val="22"/>
                <w:szCs w:val="22"/>
              </w:rPr>
              <w:t xml:space="preserve">с момента публикации сообщения о продаже и до окончания приема заявок, </w:t>
            </w:r>
            <w:bookmarkEnd w:id="0"/>
            <w:r>
              <w:rPr>
                <w:bCs/>
                <w:sz w:val="22"/>
                <w:szCs w:val="22"/>
              </w:rPr>
              <w:t xml:space="preserve">по предварительному согласования по эл. почте: mkostochkina00@mail.ru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2.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622"/>
            </w:pPr>
            <w:r>
              <w:t xml:space="preserve">Сроки продажи имущества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Организовать продажу имущества в течение </w:t>
            </w:r>
            <w:r>
              <w:t xml:space="preserve">15</w:t>
            </w:r>
            <w:r>
              <w:t xml:space="preserve"> со дня утверждения судом настоящего Положения.</w:t>
            </w:r>
            <w:r/>
            <w:r/>
          </w:p>
          <w:p>
            <w:pPr>
              <w:pStyle w:val="622"/>
            </w:pPr>
            <w:r/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3.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622"/>
            </w:pPr>
            <w:r>
              <w:t xml:space="preserve">Организатор торгов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Финансовый управляющий Дорджиева Александра Александровича Косточкина Мария Васильевна, действующий на основании решения Арбитражный суд Республики Хакасия от 27.01.2026 г. по делу № № А74-12978/2025</w:t>
            </w:r>
            <w:r/>
          </w:p>
          <w:p>
            <w:pPr>
              <w:pStyle w:val="622"/>
            </w:pPr>
            <w:r>
              <w:t xml:space="preserve">Организатор торгов выполняет следующие функции:</w:t>
            </w:r>
            <w:r/>
          </w:p>
          <w:p>
            <w:pPr>
              <w:pStyle w:val="622"/>
            </w:pPr>
            <w:r>
              <w:t xml:space="preserve">- опубликовывает и размещает сообщение о продаже имущества и сообщение о результатах проведения торгов;</w:t>
            </w:r>
            <w:r/>
          </w:p>
          <w:p>
            <w:pPr>
              <w:pStyle w:val="622"/>
            </w:pPr>
            <w:r>
              <w:t xml:space="preserve">- определяет участников торгов;</w:t>
            </w:r>
            <w:r/>
          </w:p>
          <w:p>
            <w:pPr>
              <w:pStyle w:val="622"/>
            </w:pPr>
            <w:r>
              <w:t xml:space="preserve">- определяет победителя торгов и подписывает протокол о результатах проведения торгов;</w:t>
            </w:r>
            <w:r/>
          </w:p>
          <w:p>
            <w:pPr>
              <w:pStyle w:val="622"/>
            </w:pPr>
            <w:r>
              <w:t xml:space="preserve">- уведомляет заявителей и участников торгов о результатах проведения торгов.</w:t>
            </w:r>
            <w:r/>
          </w:p>
          <w:p>
            <w:pPr>
              <w:pStyle w:val="622"/>
            </w:pPr>
            <w:r>
              <w:t xml:space="preserve">Сведения об организаторе торгов:</w:t>
            </w:r>
            <w:r/>
          </w:p>
          <w:p>
            <w:pPr>
              <w:pStyle w:val="622"/>
            </w:pPr>
            <w:r>
              <w:t xml:space="preserve">- почтовый адрес: 163046, Архангельская область, Архангельск, Воскресенская, 59, 2 этаж</w:t>
            </w:r>
            <w:r/>
          </w:p>
          <w:p>
            <w:pPr>
              <w:pStyle w:val="622"/>
            </w:pPr>
            <w:r>
              <w:t xml:space="preserve">- адрес электронной почты: mkostochkina00@mail.ru</w:t>
            </w:r>
            <w:r/>
          </w:p>
          <w:p>
            <w:pPr>
              <w:pStyle w:val="622"/>
            </w:pPr>
            <w:r>
              <w:t xml:space="preserve">- контактный номер:</w:t>
            </w:r>
            <w:r>
              <w:t xml:space="preserve">+79969844090</w:t>
            </w:r>
            <w:r/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4.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622"/>
            </w:pPr>
            <w:r>
              <w:t xml:space="preserve">Форма торгов и форма представления предложений о цене имущества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Продажа имущества должника осуществляется путем проведения открытых торгов в форме аукциона с открытой формой представления предложений о цене имущества.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5.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622"/>
            </w:pPr>
            <w:r>
              <w:t xml:space="preserve">Место проведения торгов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Торги проводятся в электронной форме на </w:t>
            </w:r>
            <w:r>
              <w:t xml:space="preserve">электронной </w:t>
            </w:r>
            <w:r>
              <w:t xml:space="preserve">площадке «АукционПРО», размещенной на сайте </w:t>
            </w:r>
            <w:hyperlink r:id="rId9" w:tooltip="https://au" w:history="1">
              <w:r>
                <w:rPr>
                  <w:rStyle w:val="624"/>
                </w:rPr>
                <w:t xml:space="preserve">https://</w:t>
              </w:r>
              <w:r>
                <w:rPr>
                  <w:rStyle w:val="624"/>
                </w:rPr>
                <w:t xml:space="preserve">a</w:t>
              </w:r>
              <w:r>
                <w:rPr>
                  <w:rStyle w:val="624"/>
                </w:rPr>
                <w:t xml:space="preserve">u</w:t>
              </w:r>
              <w:r>
                <w:rPr>
                  <w:rStyle w:val="624"/>
                </w:rPr>
              </w:r>
            </w:hyperlink>
            <w:r>
              <w:t xml:space="preserve">-</w:t>
            </w:r>
            <w:r>
              <w:t xml:space="preserve">p</w:t>
            </w:r>
            <w:r>
              <w:t xml:space="preserve">r</w:t>
            </w:r>
            <w:r>
              <w:t xml:space="preserve">o</w:t>
            </w:r>
            <w:r>
              <w:t xml:space="preserve">.ru/ в сети Интернет.</w:t>
            </w:r>
            <w:r/>
            <w:r/>
          </w:p>
          <w:p>
            <w:pPr>
              <w:pStyle w:val="622"/>
            </w:pPr>
            <w:r/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6.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622"/>
            </w:pPr>
            <w:r>
              <w:t xml:space="preserve">Размер задатка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Лот № 1:  от начальной цены.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7.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622"/>
            </w:pPr>
            <w:r>
              <w:t xml:space="preserve">Срок и порядок внесения задатка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1. Срок внесения задатка - </w:t>
            </w:r>
            <w:r>
              <w:t xml:space="preserve">не позднее даты окончания срока приема заявок</w:t>
            </w:r>
            <w:r>
              <w:t xml:space="preserve"> на участие в торгах</w:t>
            </w:r>
            <w:r>
              <w:t xml:space="preserve">. </w:t>
            </w:r>
            <w:r/>
          </w:p>
          <w:p>
            <w:pPr>
              <w:pStyle w:val="622"/>
            </w:pPr>
            <w:r>
              <w:t xml:space="preserve">2. Внесение задатка осуществляется по следующим реквизитам: </w:t>
            </w:r>
            <w:r/>
          </w:p>
          <w:p>
            <w:pPr>
              <w:pStyle w:val="622"/>
            </w:pPr>
            <w:r/>
            <w:r>
              <w:t xml:space="preserve">Валюта получаемого перевода: Российский рубль (RUB)</w:t>
              <w:br/>
              <w:t xml:space="preserve">Получатель: Дорджиев Александр Александрович</w:t>
              <w:br/>
              <w:t xml:space="preserve">Номер счёта: 40817810750230679482</w:t>
              <w:br/>
              <w:t xml:space="preserve">Банк получателя: ФИЛИАЛ "ЦЕНТРАЛЬНЫЙ" ПАО "СОВКОМБАНК"</w:t>
              <w:br/>
              <w:t xml:space="preserve">БИК: 045004763</w:t>
              <w:br/>
              <w:t xml:space="preserve">Корр. счёт: 30101810150040000763</w:t>
              <w:br/>
              <w:t xml:space="preserve">ИНН: 4401116480</w:t>
              <w:br/>
              <w:t xml:space="preserve">КПП: 5</w:t>
            </w:r>
            <w:r>
              <w:t xml:space="preserve">44543001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8.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622"/>
            </w:pPr>
            <w:r>
              <w:t xml:space="preserve">Шаг аукциона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Лот № 1: </w:t>
            </w:r>
            <w:r>
              <w:t xml:space="preserve">10 %</w:t>
            </w:r>
            <w:r/>
            <w:r/>
          </w:p>
          <w:p>
            <w:pPr>
              <w:pStyle w:val="622"/>
            </w:pPr>
            <w:r/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9.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622"/>
            </w:pPr>
            <w:r>
              <w:t xml:space="preserve">Сообщение о продаже имущества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  <w:rPr>
                <w14:ligatures w14:val="none"/>
              </w:rPr>
            </w:pPr>
            <w:r>
              <w:t xml:space="preserve">Сообщение о продаже имущества публикуется в газете «Коммерсантъ», а также размещается на Едином федеральном реестре сведен</w:t>
            </w:r>
            <w:r>
              <w:t xml:space="preserve">ий о банкротстве не позднее, чем за 30 дней до даты проведения торгов</w:t>
            </w:r>
            <w:r>
              <w:t xml:space="preserve">.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Текст сообщения должен содержать следующие сведения: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сведения об имуществе, его составе, характеристиках, описание имущества, порядок ознакомления с имуществом;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сведения о форме проведения торгов и форме представления предложений о цене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порядок, место, срок и время представления заявок на участие в торгах и</w:t>
            </w:r>
            <w:r>
              <w:t xml:space="preserve"> предложений о цене имущества (даты и время начала и окончания представления указанных заявок, дата и время начала предста</w:t>
            </w:r>
            <w:r>
              <w:t xml:space="preserve">вления указанных предложений); 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порядок оформления участия в торгах, перечень представляемых участниками торгов документов и требования к их оформлению;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размер задатка, сроки и порядок внесения задатка, реквизиты счетов, на которые вноси</w:t>
            </w:r>
            <w:r>
              <w:t xml:space="preserve">тся задаток;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начальная цена продажи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величина повышения начальной цены продажи имущества ("шаг аукциона");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порядок и критерии выявления победит</w:t>
            </w:r>
            <w:r>
              <w:t xml:space="preserve">еля торгов;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дата, время и место подведения результатов торгов;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порядок и срок заключения договора купли-продажи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сроки платежей, реквизиты счетов, на которые вносятся платежи;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сведения об организаторе торгов, его почтовый адрес, адрес электронной почты, номер контактного телефона.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</w:pP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10.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622"/>
            </w:pPr>
            <w:r>
              <w:t xml:space="preserve">Заявка на участие в торгах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Заявка на участие в торгах составляется в произвольной форме на русском языке и должна содержать следующие сведения:</w:t>
            </w:r>
            <w:r/>
            <w:r/>
          </w:p>
          <w:p>
            <w:pPr>
              <w:pStyle w:val="622"/>
            </w:pPr>
            <w:r>
              <w:t xml:space="preserve">а) наименование, организационно-правовая форма, место нахождения, почтовый адрес заявителя (для юридического лица);</w:t>
            </w:r>
            <w:r/>
            <w:r/>
          </w:p>
          <w:p>
            <w:pPr>
              <w:pStyle w:val="622"/>
            </w:pPr>
            <w:r>
              <w:t xml:space="preserve">б) фамилия, имя, отчество, паспо</w:t>
            </w:r>
            <w:r>
              <w:t xml:space="preserve">ртные данные, сведения о месте жительства заявителя (для физического лица);</w:t>
            </w:r>
            <w:r/>
            <w:r/>
          </w:p>
          <w:p>
            <w:pPr>
              <w:pStyle w:val="622"/>
            </w:pPr>
            <w:r>
              <w:t xml:space="preserve">в) номер контактного телефона, адрес электронной почты заявителя; </w:t>
            </w:r>
            <w:r/>
            <w:r/>
          </w:p>
          <w:p>
            <w:pPr>
              <w:pStyle w:val="622"/>
            </w:pPr>
            <w:r>
              <w:t xml:space="preserve">г) сведения о наличии или об отсутствии заинтересованности заявителя по отношению к должнику, кредиторам</w:t>
            </w:r>
            <w:r>
              <w:t xml:space="preserve">, арбит</w:t>
            </w:r>
            <w:r>
              <w:t xml:space="preserve">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  <w:r/>
            <w:r/>
          </w:p>
          <w:p>
            <w:pPr>
              <w:pStyle w:val="622"/>
            </w:pPr>
            <w:r>
              <w:t xml:space="preserve"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  <w:r/>
            <w:r/>
          </w:p>
          <w:p>
            <w:pPr>
              <w:pStyle w:val="622"/>
            </w:pPr>
            <w:r>
              <w:t xml:space="preserve">Для участия в от</w:t>
            </w:r>
            <w:r>
              <w:t xml:space="preserve">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</w:t>
            </w:r>
            <w:r>
              <w:t xml:space="preserve">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</w:t>
            </w:r>
            <w:r>
              <w:t xml:space="preserve">тся акцептом д</w:t>
            </w:r>
            <w:r>
              <w:t xml:space="preserve">оговора о задатке.</w:t>
            </w:r>
            <w:r/>
            <w:r/>
          </w:p>
          <w:p>
            <w:pPr>
              <w:pStyle w:val="622"/>
            </w:pPr>
            <w:r>
              <w:t xml:space="preserve">Заявит</w:t>
            </w:r>
            <w:r>
              <w:t xml:space="preserve">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  <w:r/>
            <w:r/>
          </w:p>
          <w:p>
            <w:pPr>
              <w:pStyle w:val="622"/>
            </w:pPr>
            <w:r>
              <w:t xml:space="preserve"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  <w:r/>
            <w:r/>
          </w:p>
          <w:p>
            <w:pPr>
              <w:pStyle w:val="622"/>
            </w:pPr>
            <w:r>
              <w:t xml:space="preserve">В течение тридцати мин</w:t>
            </w:r>
            <w:r>
              <w:t xml:space="preserve">ут с момента представления заявки на участие в торгах такая заявка с помощью программно-аппа</w:t>
            </w:r>
            <w:r>
              <w:t xml:space="preserve">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  <w:r/>
            <w:r/>
          </w:p>
          <w:p>
            <w:pPr>
              <w:pStyle w:val="622"/>
            </w:pP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11.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622"/>
            </w:pPr>
            <w:r>
              <w:t xml:space="preserve">Срок представления заявок на участие в торгах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12.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622"/>
            </w:pPr>
            <w:r>
              <w:t xml:space="preserve">Определение участников торгов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Не позднее тридцати минут после окон</w:t>
            </w:r>
            <w:r>
              <w:t xml:space="preserve">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  <w:r/>
            <w:r/>
          </w:p>
          <w:p>
            <w:pPr>
              <w:pStyle w:val="622"/>
            </w:pPr>
            <w:r>
              <w:t xml:space="preserve"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</w:t>
            </w:r>
            <w:r>
              <w:t xml:space="preserve">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  <w:r/>
            <w:r/>
          </w:p>
          <w:p>
            <w:pPr>
              <w:pStyle w:val="622"/>
            </w:pPr>
            <w:r>
              <w:t xml:space="preserve">В течение пяти календарн</w:t>
            </w:r>
            <w:r>
              <w:t xml:space="preserve">ых дней со дня подписания и направления протокола об определении </w:t>
            </w:r>
            <w:r>
              <w:t xml:space="preserve">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</w:t>
            </w:r>
            <w:r>
              <w:t xml:space="preserve">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  <w:r/>
            <w:r/>
          </w:p>
          <w:p>
            <w:pPr>
              <w:pStyle w:val="622"/>
            </w:pPr>
            <w:r>
              <w:t xml:space="preserve">К участи</w:t>
            </w:r>
            <w:r>
              <w:t xml:space="preserve">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  <w:r/>
            <w:r/>
          </w:p>
          <w:p>
            <w:pPr>
              <w:pStyle w:val="622"/>
            </w:pPr>
            <w:r>
              <w:t xml:space="preserve">Решение об отказе</w:t>
            </w:r>
            <w:r>
              <w:t xml:space="preserve"> в допуске заявителя к участию в торгах принимается в случае, если:</w:t>
            </w:r>
            <w:r/>
            <w:r/>
          </w:p>
          <w:p>
            <w:pPr>
              <w:pStyle w:val="622"/>
            </w:pPr>
            <w:r>
              <w:t xml:space="preserve">- заявка на участие в торгах не соответствует требованиям, указанным в сообщении о проведении торгов;</w:t>
            </w:r>
            <w:r/>
            <w:r/>
          </w:p>
          <w:p>
            <w:pPr>
              <w:pStyle w:val="622"/>
            </w:pPr>
            <w:r>
              <w:t xml:space="preserve">- представленные з</w:t>
            </w:r>
            <w:r>
              <w:t xml:space="preserve">аявителем документы не соответствуют установленным к ним требованиям или недостоверны;</w:t>
            </w:r>
            <w:r/>
            <w:r/>
          </w:p>
          <w:p>
            <w:pPr>
              <w:pStyle w:val="622"/>
            </w:pPr>
            <w:r>
              <w:t xml:space="preserve"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  <w:r/>
            <w:r/>
          </w:p>
          <w:p>
            <w:pPr>
              <w:pStyle w:val="622"/>
            </w:pP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13.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622"/>
            </w:pPr>
            <w:r>
              <w:t xml:space="preserve">Порядок проведения торгов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  <w:r/>
            <w:r/>
          </w:p>
          <w:p>
            <w:pPr>
              <w:pStyle w:val="622"/>
            </w:pPr>
            <w:r>
              <w:t xml:space="preserve"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>
              <w:t xml:space="preserve"> с указанием точного времени их поступления, а также времени, оставшегося до истечения срока представления таких предложений. </w:t>
            </w:r>
            <w:r/>
            <w:r/>
          </w:p>
          <w:p>
            <w:pPr>
              <w:pStyle w:val="622"/>
            </w:pPr>
            <w:r>
              <w:t xml:space="preserve">Торги проводятся путем повышения начальной цены продажи имущества на величину, равную "шагу </w:t>
            </w:r>
            <w:r>
              <w:t xml:space="preserve">аукциона".</w:t>
            </w:r>
            <w:r/>
            <w:r/>
          </w:p>
          <w:p>
            <w:pPr>
              <w:pStyle w:val="622"/>
            </w:pPr>
            <w:r>
              <w:t xml:space="preserve"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</w:t>
            </w:r>
            <w:r>
              <w:t xml:space="preserve">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</w:t>
            </w:r>
            <w:r>
              <w:t xml:space="preserve">ать минут с момента представления каждого из таких предложений.</w:t>
            </w:r>
            <w:r/>
            <w:r/>
          </w:p>
          <w:p>
            <w:pPr>
              <w:pStyle w:val="622"/>
            </w:pPr>
            <w:r>
              <w:t xml:space="preserve"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  <w:r/>
            <w:r/>
          </w:p>
          <w:p>
            <w:pPr>
              <w:pStyle w:val="622"/>
            </w:pPr>
            <w:r>
              <w:t xml:space="preserve"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  <w:r/>
            <w:r/>
          </w:p>
          <w:p>
            <w:pPr>
              <w:pStyle w:val="622"/>
            </w:pPr>
            <w:r>
              <w:t xml:space="preserve">а) предложение</w:t>
            </w:r>
            <w:r>
              <w:t xml:space="preserve"> о цене представлен</w:t>
            </w:r>
            <w:r>
              <w:t xml:space="preserve">о по истечении установленного срока представления предложений о цене;</w:t>
            </w:r>
            <w:r/>
            <w:r/>
          </w:p>
          <w:p>
            <w:pPr>
              <w:pStyle w:val="622"/>
            </w:pPr>
            <w:r>
              <w:t xml:space="preserve">б) предложение о цене увеличено в размере, не равном "шагу аукциона", меньше или равно ранее представленному предложению о цене;</w:t>
            </w:r>
            <w:r/>
            <w:r/>
          </w:p>
          <w:p>
            <w:pPr>
              <w:pStyle w:val="622"/>
            </w:pPr>
            <w:r>
              <w:t xml:space="preserve">в) одним участником представлено второе предложение о цене под</w:t>
            </w:r>
            <w:r>
              <w:t xml:space="preserve">ряд при отсутствии предложений других участников торгов.</w:t>
            </w:r>
            <w:r/>
            <w:r/>
          </w:p>
          <w:p>
            <w:pPr>
              <w:pStyle w:val="622"/>
            </w:pPr>
            <w:r>
              <w:t xml:space="preserve">Выигравшим аукцион признается участник, предложивший наиболее высокую цену за продаваемое имущество.</w:t>
            </w:r>
            <w:r/>
            <w:r/>
          </w:p>
          <w:p>
            <w:pPr>
              <w:pStyle w:val="622"/>
            </w:pP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14.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622"/>
            </w:pPr>
            <w:r>
              <w:t xml:space="preserve">Подведение результатов торгов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Не позднее тридцати минут с момента завершения торгов оператором</w:t>
            </w:r>
            <w:r>
              <w:t xml:space="preserve">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  <w:r/>
            <w:r/>
          </w:p>
          <w:p>
            <w:pPr>
              <w:pStyle w:val="622"/>
            </w:pPr>
            <w:r>
              <w:t xml:space="preserve">Организатор торгов рассматривает, подписывает квалифицир</w:t>
            </w:r>
            <w:r>
              <w:t xml:space="preserve">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</w:t>
            </w:r>
            <w:r>
              <w:t xml:space="preserve">ки протокола.</w:t>
            </w:r>
            <w:r/>
            <w:r/>
          </w:p>
          <w:p>
            <w:pPr>
              <w:pStyle w:val="622"/>
            </w:pPr>
            <w:r>
              <w:t xml:space="preserve">Протокол о результатах проведения то</w:t>
            </w:r>
            <w:r>
              <w:t xml:space="preserve">ргов размещается оператором электронной площадки на электронной площадке.</w:t>
            </w:r>
            <w:r/>
            <w:r/>
          </w:p>
          <w:p>
            <w:pPr>
              <w:pStyle w:val="622"/>
            </w:pPr>
            <w:r>
              <w:t xml:space="preserve">Не позднее тридцати минут после размещения</w:t>
            </w:r>
            <w:r>
              <w:t xml:space="preserve">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  <w:r/>
          </w:p>
          <w:p>
            <w:pPr>
              <w:pStyle w:val="622"/>
            </w:pPr>
            <w:r>
              <w:t xml:space="preserve">В случае, если не были представлены заявки на участие в торгах или к участию в торгах был</w:t>
            </w:r>
            <w:r>
              <w:t xml:space="preserve"> допущен только один участник, организатор торгов принимает реше</w:t>
            </w:r>
            <w:r>
              <w:t xml:space="preserve">ние о признании торгов несостоявшимися.</w:t>
            </w:r>
            <w:r/>
            <w:r/>
          </w:p>
          <w:p>
            <w:pPr>
              <w:pStyle w:val="622"/>
            </w:pPr>
            <w:r>
              <w:t xml:space="preserve"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  <w:r/>
            <w:r/>
          </w:p>
          <w:p>
            <w:pPr>
              <w:pStyle w:val="622"/>
            </w:pPr>
            <w:r>
              <w:t xml:space="preserve">окончания срока представления заявок на участие в торгах при отсутствии заявок на участие в торгах;</w:t>
            </w:r>
            <w:r/>
            <w:r/>
          </w:p>
          <w:p>
            <w:pPr>
              <w:pStyle w:val="622"/>
            </w:pPr>
            <w:r>
              <w:t xml:space="preserve">получения от организатора торгов протокола об определении участни</w:t>
            </w:r>
            <w:r>
              <w:t xml:space="preserve">ков торгов, согласно которому к участию в торгах не допущен ни о</w:t>
            </w:r>
            <w:r>
              <w:t xml:space="preserve">дин заявитель или допущен только один участник.</w:t>
            </w:r>
            <w:r/>
            <w:r/>
          </w:p>
          <w:p>
            <w:pPr>
              <w:pStyle w:val="622"/>
            </w:pPr>
            <w:r>
              <w:t xml:space="preserve">Организат</w:t>
            </w:r>
            <w:r>
              <w:t xml:space="preserve">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  <w:r/>
            <w:r/>
          </w:p>
          <w:p>
            <w:pPr>
              <w:pStyle w:val="622"/>
            </w:pPr>
            <w:r>
              <w:t xml:space="preserve">Решение о признании торгов несостоявшимися размещается оператором электронной площадки на электронной площадке.</w:t>
            </w:r>
            <w:r/>
            <w:r/>
          </w:p>
          <w:p>
            <w:pPr>
              <w:pStyle w:val="622"/>
            </w:pPr>
            <w:r>
              <w:t xml:space="preserve">Не позднее тридцати ми</w:t>
            </w:r>
            <w:r>
              <w:t xml:space="preserve">нут после размеще</w:t>
            </w:r>
            <w:r>
              <w:t xml:space="preserve">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  <w:r/>
          </w:p>
          <w:p>
            <w:pPr>
              <w:pStyle w:val="622"/>
            </w:pPr>
            <w:r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</w:t>
            </w:r>
            <w:r>
              <w:t xml:space="preserve">тствии с представленным им предложением о цене имущества.</w:t>
            </w:r>
            <w:r/>
            <w:r/>
          </w:p>
          <w:p>
            <w:pPr>
              <w:pStyle w:val="622"/>
            </w:pPr>
            <w:r/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622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15.</w:t>
            </w:r>
            <w:r>
              <w:rPr>
                <w:lang w:val="en-US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622"/>
            </w:pPr>
            <w:r>
              <w:t xml:space="preserve">Порядок и срок заключения договора купли-продажи имущества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В течение пяти дней</w:t>
            </w:r>
            <w:r>
              <w:t xml:space="preserve">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  <w:r/>
            <w:r/>
          </w:p>
          <w:p>
            <w:pPr>
              <w:pStyle w:val="622"/>
            </w:pPr>
            <w:r>
              <w:t xml:space="preserve"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  <w:r/>
            <w:r/>
          </w:p>
          <w:p>
            <w:pPr>
              <w:pStyle w:val="622"/>
            </w:pPr>
            <w:r>
              <w:t xml:space="preserve">В случае отказа или уклонения победителя торгов от подписания договора купли-продажи</w:t>
            </w:r>
            <w:r>
              <w:t xml:space="preserve"> имущества в течение пяти дней со дня получения предложения финансового управляющего о заключении такого договора внесенный задаток ему </w:t>
            </w:r>
            <w:r>
              <w:t xml:space="preserve">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  <w:r/>
            <w:r/>
          </w:p>
          <w:p>
            <w:pPr>
              <w:pStyle w:val="622"/>
            </w:pP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6</w:t>
            </w:r>
            <w:r>
              <w:t xml:space="preserve">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622"/>
            </w:pPr>
            <w:r>
              <w:t xml:space="preserve">Условия возврата задатка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/>
            <w:r>
              <w:t xml:space="preserve"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  <w:r/>
            <w:r/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7</w:t>
            </w:r>
            <w:r>
              <w:t xml:space="preserve">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622"/>
            </w:pPr>
            <w:r>
              <w:t xml:space="preserve">Условия оплаты имущества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 </w:t>
            </w:r>
            <w:r/>
          </w:p>
          <w:p>
            <w:pPr>
              <w:pStyle w:val="622"/>
            </w:pPr>
            <w:r/>
            <w:r>
              <w:t xml:space="preserve">Валюта получаемого перевода: Российский рубль (RUB)</w:t>
              <w:br/>
              <w:t xml:space="preserve">Получатель: Дорджиев Александр Александрович</w:t>
              <w:br/>
              <w:t xml:space="preserve">Номер счёта: 40817810750230679482</w:t>
              <w:br/>
              <w:t xml:space="preserve">Банк получателя: ФИЛИАЛ "ЦЕНТРАЛЬНЫЙ" ПАО "СОВКОМБАНК"</w:t>
              <w:br/>
              <w:t xml:space="preserve">БИК: 045004763</w:t>
              <w:br/>
              <w:t xml:space="preserve">Корр. счёт: 30101810150040000763</w:t>
              <w:br/>
              <w:t xml:space="preserve">ИНН: 4401116480</w:t>
              <w:br/>
              <w:t xml:space="preserve">КПП: 5</w:t>
            </w:r>
            <w:r>
              <w:t xml:space="preserve">44543001</w:t>
            </w:r>
            <w:r/>
            <w:r/>
          </w:p>
          <w:p>
            <w:pPr>
              <w:pStyle w:val="622"/>
            </w:pPr>
            <w:r/>
          </w:p>
          <w:p>
            <w:pPr>
              <w:pStyle w:val="622"/>
            </w:pPr>
            <w:r>
              <w:t xml:space="preserve">При заключении договора с лицом, выигравшим торги, сумма внесенного им задатка засчитывается в счет исполнения договора.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8</w:t>
            </w:r>
            <w:r>
              <w:t xml:space="preserve">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622"/>
            </w:pPr>
            <w:r>
              <w:t xml:space="preserve">Оформление договора купли-продажи имущества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Обязательными условиями договора купли-продажи имущества являются:</w:t>
            </w:r>
            <w:r/>
          </w:p>
          <w:p>
            <w:pPr>
              <w:pStyle w:val="622"/>
            </w:pPr>
            <w:r>
              <w:t xml:space="preserve">сведения об имуществе, его составе, характеристиках, описание имущества;</w:t>
            </w:r>
            <w:r/>
          </w:p>
          <w:p>
            <w:pPr>
              <w:pStyle w:val="622"/>
            </w:pPr>
            <w:r>
              <w:t xml:space="preserve">цена продажи имущества;</w:t>
            </w:r>
            <w:r/>
          </w:p>
          <w:p>
            <w:pPr>
              <w:pStyle w:val="622"/>
            </w:pPr>
            <w:r>
              <w:t xml:space="preserve">порядок и срок передачи имущества покупателю;</w:t>
            </w:r>
            <w:r/>
          </w:p>
          <w:p>
            <w:pPr>
              <w:pStyle w:val="622"/>
            </w:pPr>
            <w:r>
              <w:t xml:space="preserve">сведения о наличии или об отсутствии обременении в отношении имущества, в том числе публичного сервитута;</w:t>
            </w:r>
            <w:r/>
          </w:p>
          <w:p>
            <w:pPr>
              <w:pStyle w:val="622"/>
            </w:pPr>
            <w:r>
              <w:t xml:space="preserve">иные предусмотренные законодательством Российской Федерации условия.</w:t>
            </w:r>
            <w:r/>
          </w:p>
          <w:p>
            <w:pPr>
              <w:pStyle w:val="622"/>
            </w:pPr>
            <w:r>
              <w:t xml:space="preserve">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10" w:tooltip="consultantplus://offline/ref=C170E87E5106903B2C2693164E83ABCA2276C913842C8ACC75FF6C560D0667AC2FE2ED39A0D15019R9r5M" w:history="1">
              <w:r>
                <w:rPr>
                  <w:rStyle w:val="624"/>
                  <w:color w:val="auto"/>
                  <w:u w:val="none"/>
                </w:rPr>
                <w:t xml:space="preserve">законодательством</w:t>
              </w:r>
            </w:hyperlink>
            <w:r>
              <w:t xml:space="preserve"> Российской Федерации.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9</w:t>
            </w:r>
            <w:r>
              <w:t xml:space="preserve">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622"/>
            </w:pPr>
            <w:r>
              <w:t xml:space="preserve">Проведение повторных торгов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В случае признания торгов несостоявшимися и незаключения договора купли-продаж</w:t>
            </w:r>
            <w:r>
              <w:t xml:space="preserve">и с единственным участником торгов, а также в случае незаключения договора купли-продажи имущества по результатам торгов финансовый управляющий в течение двух дней после завершения срока, установленного для принятия решений о признании торгов несостоявшими</w:t>
            </w:r>
            <w:r>
              <w:t xml:space="preserve">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  <w:r/>
          </w:p>
          <w:p>
            <w:pPr>
              <w:pStyle w:val="622"/>
            </w:pPr>
            <w:r>
              <w:t xml:space="preserve">Повторные торги проводятся в соответствии с условиями проведения первоначальных торгов.</w:t>
            </w:r>
            <w:r/>
          </w:p>
          <w:p>
            <w:pPr>
              <w:pStyle w:val="622"/>
            </w:pPr>
            <w:r>
              <w:t xml:space="preserve"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rPr>
                <w:lang w:val="en-US"/>
              </w:rPr>
              <w:t xml:space="preserve">20</w:t>
            </w:r>
            <w:r>
              <w:t xml:space="preserve">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" w:type="dxa"/>
            <w:textDirection w:val="lrTb"/>
            <w:noWrap w:val="false"/>
          </w:tcPr>
          <w:p>
            <w:pPr>
              <w:pStyle w:val="622"/>
            </w:pPr>
            <w:r>
              <w:t xml:space="preserve">Продажа имущества посредством публичного предложения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19" w:type="dxa"/>
            <w:textDirection w:val="lrTb"/>
            <w:noWrap w:val="false"/>
          </w:tcPr>
          <w:p>
            <w:pPr>
              <w:pStyle w:val="622"/>
            </w:pPr>
            <w:r>
              <w:t xml:space="preserve">В случае, если повторные торги по продаже имущества должника признаны несостоявш</w:t>
            </w:r>
            <w:r>
              <w:t xml:space="preserve">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  <w:r/>
            <w:r/>
          </w:p>
          <w:p>
            <w:pPr>
              <w:pStyle w:val="622"/>
            </w:pPr>
            <w: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  <w:r/>
            <w:r/>
          </w:p>
          <w:p>
            <w:pPr>
              <w:pStyle w:val="622"/>
            </w:pPr>
            <w:r>
              <w:t xml:space="preserve">Начальная цена продажи имущества устанавливается в размере начальной цены продажи имущества, установленной на повторных торгах.</w:t>
            </w:r>
            <w:r/>
            <w:r/>
          </w:p>
          <w:p>
            <w:pPr>
              <w:pStyle w:val="622"/>
            </w:pPr>
            <w:r>
              <w:t xml:space="preserve">Величина снижения начальной цены продажи имущества должника - 10 %.</w:t>
            </w:r>
            <w:r/>
            <w:r/>
          </w:p>
          <w:p>
            <w:pPr>
              <w:pStyle w:val="622"/>
            </w:pPr>
            <w:r>
              <w:t xml:space="preserve">Срок, по истечении которого последовательно снижается начальная цена – каждые 7 календарных дней. Размер задатка - 10% от начальной цены, установленной для соответствующего периода проведения торгов.</w:t>
            </w:r>
            <w:r/>
            <w:r/>
          </w:p>
          <w:p>
            <w:pPr>
              <w:pStyle w:val="622"/>
            </w:pPr>
            <w:r>
              <w:t xml:space="preserve">Сообщение о продаже имущества посредством публичного предложения публикуется в газете «Коммерсантъ», а также размеща</w:t>
            </w:r>
            <w:r>
              <w:t xml:space="preserve">ется на Едином федеральном реестре сведений о банкротстве за 3 дней до даты начала приема заяв</w:t>
            </w:r>
            <w:r>
              <w:t xml:space="preserve">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  <w:r/>
            <w:r/>
          </w:p>
          <w:p>
            <w:pPr>
              <w:pStyle w:val="622"/>
            </w:pPr>
            <w: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</w:t>
            </w:r>
            <w:r>
              <w:t xml:space="preserve">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</w:t>
            </w:r>
            <w:r>
              <w:t xml:space="preserve">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</w:t>
            </w:r>
            <w:r>
              <w:t xml:space="preserve">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</w:t>
            </w:r>
            <w:r>
              <w:t xml:space="preserve">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</w:t>
            </w:r>
            <w:r>
              <w:t xml:space="preserve">, установлен</w:t>
            </w:r>
            <w:r>
              <w:t xml:space="preserve">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  <w:r/>
            <w:r/>
          </w:p>
          <w:p>
            <w:pPr>
              <w:pStyle w:val="622"/>
            </w:pPr>
            <w: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  <w:r/>
            <w:r/>
          </w:p>
          <w:p>
            <w:pPr>
              <w:pStyle w:val="622"/>
            </w:pPr>
            <w:r>
              <w:t xml:space="preserve">При участии в торгах посредством публичного предложения заявитель обязан обеспечить поступление задатка на счета,</w:t>
            </w:r>
            <w:r>
              <w:t xml:space="preserve">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  <w:r/>
            <w:r/>
          </w:p>
          <w:p>
            <w:pPr>
              <w:pStyle w:val="622"/>
            </w:pPr>
            <w:r>
              <w:t xml:space="preserve">Заявки на участие в торгах, поступившие в т</w:t>
            </w:r>
            <w:r>
              <w:t xml:space="preserve">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  <w:r/>
            <w:r/>
          </w:p>
          <w:p>
            <w:pPr>
              <w:pStyle w:val="622"/>
            </w:pPr>
            <w:r>
              <w:t xml:space="preserve">Определение участник</w:t>
            </w:r>
            <w:r>
              <w:t xml:space="preserve">ов торгов, проводимых в форме публичного предложения осуществляется в следующем порядке:</w:t>
            </w:r>
            <w:r/>
            <w:r/>
          </w:p>
          <w:p>
            <w:pPr>
              <w:pStyle w:val="622"/>
            </w:pPr>
            <w:r>
              <w:t xml:space="preserve"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</w:t>
            </w:r>
            <w:r>
              <w:t xml:space="preserve">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</w:t>
            </w:r>
            <w:r>
              <w:t xml:space="preserve"> одного из следующих случаев:</w:t>
            </w:r>
            <w:r/>
            <w:r/>
          </w:p>
          <w:p>
            <w:pPr>
              <w:pStyle w:val="622"/>
            </w:pPr>
            <w:r>
              <w:t xml:space="preserve">завершения торгов вследствие поступления от организатора торгов электронного сообщения о завершении торгов вследствие оставления </w:t>
            </w:r>
            <w:r>
              <w:t xml:space="preserve">конк</w:t>
            </w:r>
            <w:r>
              <w:t xml:space="preserve">урсным кредитором предмета залога за собой;</w:t>
            </w:r>
            <w:r/>
            <w:r/>
          </w:p>
          <w:p>
            <w:pPr>
              <w:pStyle w:val="622"/>
            </w:pPr>
            <w:r>
              <w:t xml:space="preserve">окончания периода проведения торгов.</w:t>
            </w:r>
            <w:r/>
            <w:r/>
          </w:p>
          <w:p>
            <w:pPr>
              <w:pStyle w:val="622"/>
            </w:pPr>
            <w:r>
              <w:t xml:space="preserve">Если имеются</w:t>
            </w:r>
            <w:r>
              <w:t xml:space="preserve">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</w:t>
            </w:r>
            <w:r>
              <w:t xml:space="preserve">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  <w:r/>
            <w:r/>
          </w:p>
          <w:p>
            <w:pPr>
              <w:pStyle w:val="622"/>
            </w:pPr>
            <w:r>
              <w:t xml:space="preserve">завершения торгов вследствие оставления конкурсным кредитором предмета залога за собой;</w:t>
            </w:r>
            <w:r/>
            <w:r/>
          </w:p>
          <w:p>
            <w:pPr>
              <w:pStyle w:val="622"/>
            </w:pPr>
            <w:r>
              <w:t xml:space="preserve">окончания периода проведения торгов.</w:t>
            </w:r>
            <w:r/>
            <w:r/>
          </w:p>
          <w:p>
            <w:pPr>
              <w:pStyle w:val="622"/>
            </w:pPr>
            <w:r>
              <w:t xml:space="preserve"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</w:t>
            </w:r>
            <w:r>
              <w:t xml:space="preserve">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  <w:r/>
            <w:r/>
          </w:p>
          <w:p>
            <w:pPr>
              <w:pStyle w:val="622"/>
            </w:pPr>
            <w:r>
              <w:t xml:space="preserve">получения от организатора торгов (по окончании любого периода проведения торгов ил</w:t>
            </w:r>
            <w:r>
              <w:t xml:space="preserve">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</w:t>
            </w:r>
            <w:r>
              <w:t xml:space="preserve">один участник;</w:t>
            </w:r>
            <w:r/>
            <w:r/>
          </w:p>
          <w:p>
            <w:pPr>
              <w:pStyle w:val="622"/>
            </w:pPr>
            <w:r>
              <w:t xml:space="preserve">получения от организатора торгов (по окончании последнего периода проведения торгов или по завершении торгов вследствие</w:t>
            </w:r>
            <w:r>
              <w:t xml:space="preserve">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  <w:r/>
            <w:r/>
          </w:p>
          <w:p>
            <w:pPr>
              <w:pStyle w:val="622"/>
            </w:pPr>
            <w:r>
              <w:t xml:space="preserve">окончания последнего периода проведения торгов или завершения торгов вследствие поступления электронного сообщения о заве</w:t>
            </w:r>
            <w:r>
              <w:t xml:space="preserve">ршении торгов вследствие оставления конкурсным кредитором предмета залога за собой, при отсутствии заявок на участие в торгах.</w:t>
            </w:r>
            <w:r/>
            <w:r/>
          </w:p>
          <w:p>
            <w:pPr>
              <w:pStyle w:val="622"/>
            </w:pPr>
            <w:r>
              <w:t xml:space="preserve">Организатор торгов рассматривает, подписывает квалифицированной электронной подписью и направляет опе</w:t>
            </w:r>
            <w:r>
              <w:t xml:space="preserve">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  <w:r/>
            <w:r/>
          </w:p>
          <w:p>
            <w:pPr>
              <w:pStyle w:val="622"/>
            </w:pPr>
            <w:r>
              <w:t xml:space="preserve">Протокол о результатах пров</w:t>
            </w:r>
            <w:r>
              <w:t xml:space="preserve">едения торгов или решение о признании торгов несостоявшимися размещаются оператором электронной площадки на электронной площадке.</w:t>
            </w:r>
            <w:r/>
            <w:r/>
          </w:p>
          <w:p>
            <w:pPr>
              <w:pStyle w:val="622"/>
            </w:pPr>
            <w:r>
              <w:t xml:space="preserve">Не позднее тридцати минут после размещения на электронной площадке указанных прото</w:t>
            </w:r>
            <w:r>
              <w:t xml:space="preserve">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  <w:r/>
          </w:p>
          <w:p>
            <w:pPr>
              <w:pStyle w:val="622"/>
            </w:pPr>
            <w:r/>
          </w:p>
        </w:tc>
      </w:tr>
    </w:tbl>
    <w:p>
      <w:pPr>
        <w:pStyle w:val="622"/>
      </w:pPr>
      <w:r/>
      <w:r/>
    </w:p>
    <w:p>
      <w:pPr>
        <w:pStyle w:val="622"/>
        <w:jc w:val="both"/>
      </w:pPr>
      <w:r/>
      <w:r/>
    </w:p>
    <w:p>
      <w:pPr>
        <w:pStyle w:val="622"/>
        <w:ind w:left="-567"/>
        <w:jc w:val="both"/>
      </w:pPr>
      <w:r>
        <w:t xml:space="preserve">Все иные условия проведения торгов про продаже имущества, не указанные в настоящем </w:t>
      </w:r>
      <w:r>
        <w:t xml:space="preserve">Положении, регулируются Федеральным законом «О несостоятельности (банкротстве)», 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</w:t>
      </w:r>
      <w:r>
        <w:t xml:space="preserve">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</w:t>
      </w:r>
      <w:r>
        <w:t xml:space="preserve">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  <w:r/>
    </w:p>
    <w:p>
      <w:pPr>
        <w:pStyle w:val="633"/>
        <w:jc w:val="both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5000" w:type="pct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643"/>
        <w:gridCol w:w="64"/>
        <w:gridCol w:w="4648"/>
      </w:tblGrid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pStyle w:val="622"/>
            </w:pPr>
            <w:r/>
            <w:r/>
          </w:p>
          <w:p>
            <w:pPr>
              <w:pStyle w:val="622"/>
              <w:rPr>
                <w:lang w:val="en-US"/>
              </w:rPr>
            </w:pPr>
            <w:r>
              <w:t xml:space="preserve">Финансовый</w:t>
            </w:r>
            <w:r>
              <w:rPr>
                <w:lang w:val="en-US"/>
              </w:rPr>
              <w:t xml:space="preserve"> </w:t>
            </w:r>
            <w:r>
              <w:t xml:space="preserve">управляющий</w:t>
            </w:r>
            <w:r>
              <w:rPr>
                <w:bCs/>
                <w:lang w:val="en-US"/>
              </w:rPr>
              <w:br/>
            </w:r>
            <w:r>
              <w:rPr>
                <w:lang w:val="en-US"/>
              </w:rPr>
              <w:t xml:space="preserve">Дорджиева Александра Александровича</w:t>
            </w:r>
            <w:r>
              <w:rPr>
                <w:lang w:val="en-US"/>
              </w:rPr>
            </w:r>
          </w:p>
        </w:tc>
        <w:tc>
          <w:tcPr>
            <w:tcW w:w="64" w:type="dxa"/>
            <w:vAlign w:val="center"/>
            <w:textDirection w:val="lrTb"/>
            <w:noWrap w:val="false"/>
          </w:tcPr>
          <w:p>
            <w:pPr>
              <w:pStyle w:val="622"/>
              <w:rPr>
                <w:lang w:val="en-US"/>
              </w:rPr>
            </w:pPr>
            <w:r>
              <w:rPr>
                <w:lang w:val="en-US"/>
              </w:rPr>
              <w:t xml:space="preserve"> </w:t>
            </w:r>
            <w:r>
              <w:rPr>
                <w:lang w:val="en-US"/>
              </w:rPr>
            </w:r>
          </w:p>
        </w:tc>
        <w:tc>
          <w:tcPr>
            <w:tcW w:w="4648" w:type="dxa"/>
            <w:textDirection w:val="lrTb"/>
            <w:noWrap w:val="false"/>
          </w:tcPr>
          <w:p>
            <w:pPr>
              <w:pStyle w:val="634"/>
              <w:jc w:val="right"/>
              <w:spacing w:before="240" w:after="240"/>
              <w:rPr>
                <w:sz w:val="20"/>
                <w:szCs w:val="20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0" distR="0" simplePos="0" relativeHeight="2" behindDoc="0" locked="0" layoutInCell="0" allowOverlap="1">
                      <wp:simplePos x="0" y="0"/>
                      <wp:positionH relativeFrom="column">
                        <wp:posOffset>132715</wp:posOffset>
                      </wp:positionH>
                      <wp:positionV relativeFrom="paragraph">
                        <wp:posOffset>93345</wp:posOffset>
                      </wp:positionV>
                      <wp:extent cx="471170" cy="613410"/>
                      <wp:effectExtent l="0" t="0" r="0" b="0"/>
                      <wp:wrapSquare wrapText="bothSides"/>
                      <wp:docPr id="1" name="Изображение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Изображение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71170" cy="61341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2;o:allowoverlap:true;o:allowincell:false;mso-position-horizontal-relative:text;margin-left:10.45pt;mso-position-horizontal:absolute;mso-position-vertical-relative:text;margin-top:7.35pt;mso-position-vertical:absolute;width:37.10pt;height:48.30pt;mso-wrap-distance-left:0.00pt;mso-wrap-distance-top:0.00pt;mso-wrap-distance-right:0.00pt;mso-wrap-distance-bottom:0.00pt;" stroked="false">
                      <v:path textboxrect="0,0,0,0"/>
                      <w10:wrap type="square"/>
                      <v:imagedata r:id="rId11" o:title=""/>
                    </v:shape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М.В. Косточкина</w:t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22"/>
        <w:jc w:val="both"/>
      </w:pPr>
      <w:r/>
      <w:r/>
    </w:p>
    <w:p>
      <w:pPr>
        <w:pStyle w:val="622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Arial Unicode MS">
    <w:panose1 w:val="020B0604020202020204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"/>
      <w:lvlJc w:val="right"/>
      <w:pPr>
        <w:ind w:left="720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13">
    <w:name w:val="No List"/>
    <w:uiPriority w:val="99"/>
    <w:semiHidden/>
    <w:unhideWhenUsed/>
  </w:style>
  <w:style w:type="paragraph" w:styleId="14">
    <w:name w:val="Heading 1"/>
    <w:basedOn w:val="622"/>
    <w:next w:val="622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23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2"/>
    <w:next w:val="622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23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2"/>
    <w:next w:val="622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23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2"/>
    <w:next w:val="622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23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2"/>
    <w:next w:val="622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23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2"/>
    <w:next w:val="622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23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2"/>
    <w:next w:val="622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23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2"/>
    <w:next w:val="622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23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2"/>
    <w:next w:val="622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23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2"/>
    <w:next w:val="622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23"/>
    <w:link w:val="35"/>
    <w:uiPriority w:val="10"/>
    <w:rPr>
      <w:sz w:val="48"/>
      <w:szCs w:val="48"/>
    </w:rPr>
  </w:style>
  <w:style w:type="paragraph" w:styleId="37">
    <w:name w:val="Subtitle"/>
    <w:basedOn w:val="622"/>
    <w:next w:val="622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23"/>
    <w:link w:val="37"/>
    <w:uiPriority w:val="11"/>
    <w:rPr>
      <w:sz w:val="24"/>
      <w:szCs w:val="24"/>
    </w:rPr>
  </w:style>
  <w:style w:type="paragraph" w:styleId="39">
    <w:name w:val="Quote"/>
    <w:basedOn w:val="622"/>
    <w:next w:val="622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2"/>
    <w:next w:val="622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2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23"/>
    <w:link w:val="43"/>
    <w:uiPriority w:val="99"/>
  </w:style>
  <w:style w:type="paragraph" w:styleId="45">
    <w:name w:val="Footer"/>
    <w:basedOn w:val="622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23"/>
    <w:link w:val="45"/>
    <w:uiPriority w:val="99"/>
  </w:style>
  <w:style w:type="character" w:styleId="48">
    <w:name w:val="Caption Char"/>
    <w:basedOn w:val="623"/>
    <w:link w:val="628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3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3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3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49">
    <w:name w:val="List Table 7 Colorful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3">
    <w:name w:val="List Table 7 Colorful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6">
    <w:name w:val="Lined - Accent 2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0">
    <w:name w:val="Lined - Accent 6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3">
    <w:name w:val="Bordered &amp; Lined - Accent 2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7">
    <w:name w:val="Bordered &amp; Lined - Accent 6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22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23"/>
    <w:uiPriority w:val="99"/>
    <w:unhideWhenUsed/>
    <w:rPr>
      <w:vertAlign w:val="superscript"/>
    </w:rPr>
  </w:style>
  <w:style w:type="paragraph" w:styleId="179">
    <w:name w:val="endnote text"/>
    <w:basedOn w:val="622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23"/>
    <w:uiPriority w:val="99"/>
    <w:semiHidden/>
    <w:unhideWhenUsed/>
    <w:rPr>
      <w:vertAlign w:val="superscript"/>
    </w:rPr>
  </w:style>
  <w:style w:type="paragraph" w:styleId="182">
    <w:name w:val="toc 1"/>
    <w:basedOn w:val="622"/>
    <w:next w:val="622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2"/>
    <w:next w:val="622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2"/>
    <w:next w:val="622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2"/>
    <w:next w:val="622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2"/>
    <w:next w:val="622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2"/>
    <w:next w:val="622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2"/>
    <w:next w:val="622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2"/>
    <w:next w:val="622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2"/>
    <w:next w:val="622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2"/>
    <w:next w:val="622"/>
    <w:uiPriority w:val="99"/>
    <w:unhideWhenUsed/>
    <w:pPr>
      <w:spacing w:after="0" w:afterAutospacing="0"/>
    </w:pPr>
  </w:style>
  <w:style w:type="paragraph" w:styleId="622" w:default="1">
    <w:name w:val="Normal"/>
    <w:qFormat/>
    <w:pPr>
      <w:jc w:val="left"/>
      <w:spacing w:before="0" w:after="0"/>
      <w:widowControl w:val="off"/>
    </w:pPr>
    <w:rPr>
      <w:rFonts w:ascii="Times New Roman" w:hAnsi="Times New Roman" w:eastAsia="Times New Roman" w:cs="Times New Roman"/>
      <w:color w:val="auto"/>
      <w:sz w:val="20"/>
      <w:szCs w:val="20"/>
      <w:lang w:val="ru-RU" w:eastAsia="ru-RU" w:bidi="ar-SA"/>
    </w:rPr>
  </w:style>
  <w:style w:type="character" w:styleId="623" w:default="1">
    <w:name w:val="Default Paragraph Font"/>
    <w:uiPriority w:val="1"/>
    <w:unhideWhenUsed/>
    <w:qFormat/>
  </w:style>
  <w:style w:type="character" w:styleId="624">
    <w:name w:val="Hyperlink"/>
    <w:uiPriority w:val="99"/>
    <w:unhideWhenUsed/>
    <w:rPr>
      <w:color w:val="0000ff"/>
      <w:u w:val="single"/>
    </w:rPr>
  </w:style>
  <w:style w:type="paragraph" w:styleId="625">
    <w:name w:val="Заголовок"/>
    <w:basedOn w:val="622"/>
    <w:next w:val="626"/>
    <w:qFormat/>
    <w:pPr>
      <w:keepNext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626">
    <w:name w:val="Body Text"/>
    <w:basedOn w:val="622"/>
    <w:pPr>
      <w:spacing w:before="0" w:after="140" w:line="276" w:lineRule="auto"/>
    </w:pPr>
  </w:style>
  <w:style w:type="paragraph" w:styleId="627">
    <w:name w:val="List"/>
    <w:basedOn w:val="626"/>
    <w:rPr>
      <w:rFonts w:cs="Arial Unicode MS"/>
    </w:rPr>
  </w:style>
  <w:style w:type="paragraph" w:styleId="628">
    <w:name w:val="Caption"/>
    <w:basedOn w:val="622"/>
    <w:qFormat/>
    <w:pPr>
      <w:spacing w:before="120" w:after="120"/>
      <w:suppressLineNumbers/>
    </w:pPr>
    <w:rPr>
      <w:rFonts w:cs="Arial Unicode MS"/>
      <w:i/>
      <w:iCs/>
      <w:sz w:val="24"/>
      <w:szCs w:val="24"/>
    </w:rPr>
  </w:style>
  <w:style w:type="paragraph" w:styleId="629">
    <w:name w:val="Указатель"/>
    <w:basedOn w:val="622"/>
    <w:qFormat/>
    <w:pPr>
      <w:suppressLineNumbers/>
    </w:pPr>
    <w:rPr>
      <w:rFonts w:cs="Arial Unicode MS"/>
    </w:rPr>
  </w:style>
  <w:style w:type="paragraph" w:styleId="630">
    <w:name w:val="Заголовок (user)"/>
    <w:basedOn w:val="622"/>
    <w:next w:val="626"/>
    <w:qFormat/>
    <w:pPr>
      <w:keepNext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631">
    <w:name w:val="Указатель (user)"/>
    <w:basedOn w:val="622"/>
    <w:qFormat/>
    <w:pPr>
      <w:suppressLineNumbers/>
    </w:pPr>
    <w:rPr>
      <w:rFonts w:cs="Arial Unicode MS"/>
    </w:rPr>
  </w:style>
  <w:style w:type="paragraph" w:styleId="632" w:customStyle="1">
    <w:name w:val="Обычный1"/>
    <w:qFormat/>
    <w:pPr>
      <w:jc w:val="left"/>
      <w:spacing w:before="0" w:after="0"/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ru-RU" w:bidi="ar-SA"/>
    </w:rPr>
  </w:style>
  <w:style w:type="paragraph" w:styleId="633" w:customStyle="1">
    <w:name w:val="ConsPlusNonformat"/>
    <w:qFormat/>
    <w:pPr>
      <w:jc w:val="left"/>
      <w:spacing w:before="0" w:after="0"/>
      <w:widowControl w:val="off"/>
    </w:pPr>
    <w:rPr>
      <w:rFonts w:ascii="Courier New" w:hAnsi="Courier New" w:eastAsia="Times New Roman" w:cs="Courier New"/>
      <w:color w:val="auto"/>
      <w:sz w:val="20"/>
      <w:szCs w:val="20"/>
      <w:lang w:val="ru-RU" w:eastAsia="ru-RU" w:bidi="ar-SA"/>
    </w:rPr>
  </w:style>
  <w:style w:type="paragraph" w:styleId="634" w:customStyle="1">
    <w:name w:val="Обычный (веб)"/>
    <w:basedOn w:val="622"/>
    <w:qFormat/>
    <w:pPr>
      <w:spacing w:before="240" w:after="240"/>
      <w:widowControl/>
    </w:pPr>
    <w:rPr>
      <w:sz w:val="24"/>
      <w:szCs w:val="24"/>
    </w:rPr>
  </w:style>
  <w:style w:type="paragraph" w:styleId="635" w:customStyle="1">
    <w:name w:val="Default"/>
    <w:qFormat/>
    <w:pPr>
      <w:jc w:val="left"/>
      <w:spacing w:before="0" w:after="0"/>
      <w:widowControl/>
    </w:pPr>
    <w:rPr>
      <w:rFonts w:ascii="Times New Roman" w:hAnsi="Times New Roman" w:eastAsia="Calibri" w:cs="Times New Roman"/>
      <w:color w:val="000000"/>
      <w:sz w:val="24"/>
      <w:szCs w:val="24"/>
      <w:lang w:val="ru-RU" w:eastAsia="ru-RU" w:bidi="ar-SA"/>
    </w:rPr>
  </w:style>
  <w:style w:type="paragraph" w:styleId="636">
    <w:name w:val="List Paragraph"/>
    <w:basedOn w:val="622"/>
    <w:uiPriority w:val="34"/>
    <w:qFormat/>
    <w:pPr>
      <w:contextualSpacing/>
      <w:ind w:left="720"/>
      <w:spacing w:before="0" w:after="0"/>
    </w:pPr>
  </w:style>
  <w:style w:type="numbering" w:styleId="637" w:default="1">
    <w:name w:val="Без списка (user)"/>
    <w:uiPriority w:val="99"/>
    <w:semiHidden/>
    <w:unhideWhenUsed/>
    <w:qFormat/>
  </w:style>
  <w:style w:type="table" w:styleId="638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639">
    <w:name w:val="Table Grid"/>
    <w:basedOn w:val="638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au" TargetMode="External"/><Relationship Id="rId10" Type="http://schemas.openxmlformats.org/officeDocument/2006/relationships/hyperlink" Target="consultantplus://offline/ref=C170E87E5106903B2C2693164E83ABCA2276C913842C8ACC75FF6C560D0667AC2FE2ED39A0D15019R9r5M" TargetMode="External"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dc:language>ru-RU</dc:language>
  <cp:lastModifiedBy>alesh</cp:lastModifiedBy>
  <cp:revision>22</cp:revision>
  <dcterms:created xsi:type="dcterms:W3CDTF">2024-09-06T16:05:00Z</dcterms:created>
  <dcterms:modified xsi:type="dcterms:W3CDTF">2026-08-27T15:40:34Z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