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>
        <w:tblPrEx/>
        <w:trPr>
          <w:jc w:val="right"/>
          <w:trHeight w:val="1126"/>
        </w:trPr>
        <w:tc>
          <w:tcPr>
            <w:tcW w:w="6095" w:type="dxa"/>
            <w:textDirection w:val="lrTb"/>
            <w:noWrap w:val="false"/>
          </w:tcPr>
          <w:p>
            <w:pPr>
              <w:pStyle w:val="1_80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r>
              <w:rPr>
                <w:sz w:val="20"/>
                <w:szCs w:val="20"/>
              </w:rPr>
              <w:t xml:space="preserve">Арбитражный суд Республики Хакасия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right"/>
              <w:rPr>
                <w:bCs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финансового управляющего </w:t>
            </w:r>
            <w:r>
              <w:rPr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t xml:space="preserve">Охремчука Дениса Владимировича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Косточкиной Марии Васильевны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35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Положение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35"/>
        <w:jc w:val="center"/>
        <w:rPr>
          <w:b/>
          <w:bCs/>
          <w:sz w:val="20"/>
          <w:szCs w:val="20"/>
          <w:highlight w:val="none"/>
        </w:rPr>
      </w:pPr>
      <w:r>
        <w:rPr>
          <w:b/>
          <w:bCs/>
          <w:sz w:val="20"/>
          <w:szCs w:val="20"/>
        </w:rPr>
        <w:t xml:space="preserve">о</w:t>
      </w: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порядке, об условиях и о сроках реализации</w:t>
      </w:r>
      <w:r>
        <w:rPr>
          <w:b/>
          <w:bCs/>
          <w:sz w:val="20"/>
          <w:szCs w:val="20"/>
        </w:rPr>
        <w:t xml:space="preserve"> имущества </w:t>
      </w:r>
      <w:r>
        <w:rPr>
          <w:b/>
          <w:bCs/>
          <w:sz w:val="20"/>
          <w:szCs w:val="20"/>
        </w:rPr>
        <w:t xml:space="preserve">Охремчука Дениса Владимировича</w:t>
      </w:r>
      <w:r>
        <w:rPr>
          <w:b/>
          <w:bCs/>
          <w:sz w:val="20"/>
          <w:szCs w:val="20"/>
        </w:rPr>
      </w:r>
      <w:r>
        <w:rPr>
          <w:b/>
          <w:bCs/>
          <w:sz w:val="20"/>
          <w:szCs w:val="20"/>
          <w:highlight w:val="none"/>
        </w:rPr>
      </w:r>
    </w:p>
    <w:p>
      <w:pPr>
        <w:pStyle w:val="835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  <w:highlight w:val="none"/>
        </w:rPr>
      </w:r>
      <w:r>
        <w:rPr>
          <w:b/>
          <w:sz w:val="24"/>
          <w:szCs w:val="24"/>
          <w:highlight w:val="none"/>
        </w:rPr>
      </w:r>
    </w:p>
    <w:p>
      <w:pPr>
        <w:pStyle w:val="835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0"/>
          <w:szCs w:val="20"/>
        </w:rPr>
        <w:t xml:space="preserve">(19.07.1991 г.р., место рождения: гор. Абаза Таштыпского р-на Красноярского края, адрес регистрации: Республика Хакасия, г. Абаза, ул. Транспортная, д.7А, СНИЛС: 147-167-293 80, ИНН: 190560448451)</w:t>
      </w:r>
      <w:r>
        <w:rPr>
          <w:sz w:val="20"/>
          <w:szCs w:val="20"/>
        </w:rPr>
        <w:br/>
      </w:r>
      <w:r>
        <w:rPr>
          <w:sz w:val="16"/>
          <w:szCs w:val="16"/>
        </w:rPr>
        <w:t xml:space="preserve">(сведения, идентифицирующие должника)</w:t>
      </w:r>
      <w:r/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1.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Сведения об имуществе и порядке ознакомления с ним</w:t>
            </w:r>
            <w:r/>
          </w:p>
        </w:tc>
        <w:tc>
          <w:tcPr>
            <w:tcW w:w="7059" w:type="dxa"/>
            <w:textDirection w:val="lrTb"/>
            <w:noWrap w:val="false"/>
          </w:tcPr>
          <w:tbl>
            <w:tblPr>
              <w:tblW w:w="6833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>
              <w:tblPrEx/>
              <w:trPr/>
              <w:tc>
                <w:tcPr>
                  <w:tcW w:w="603" w:type="dxa"/>
                  <w:textDirection w:val="lrTb"/>
                  <w:noWrap w:val="false"/>
                </w:tcPr>
                <w:p>
                  <w:pPr>
                    <w:jc w:val="center"/>
                  </w:pPr>
                  <w:r>
                    <w:t xml:space="preserve">№ лота</w:t>
                  </w:r>
                  <w:r/>
                </w:p>
              </w:tc>
              <w:tc>
                <w:tcPr>
                  <w:tcW w:w="3474" w:type="dxa"/>
                  <w:textDirection w:val="lrTb"/>
                  <w:noWrap w:val="false"/>
                </w:tcPr>
                <w:p>
                  <w:pPr>
                    <w:jc w:val="center"/>
                  </w:pPr>
                  <w:r>
                    <w:t xml:space="preserve">Описание, характеристика имущества</w:t>
                  </w:r>
                  <w:r/>
                </w:p>
              </w:tc>
              <w:tc>
                <w:tcPr>
                  <w:tcW w:w="1217" w:type="dxa"/>
                  <w:textDirection w:val="lrTb"/>
                  <w:noWrap w:val="false"/>
                </w:tcPr>
                <w:p>
                  <w:pPr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tcW w:w="1539" w:type="dxa"/>
                  <w:textDirection w:val="lrTb"/>
                  <w:noWrap w:val="false"/>
                </w:tcPr>
                <w:p>
                  <w:pPr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/>
              <w:trPr/>
              <w:tc>
                <w:tcPr>
                  <w:tcW w:w="603" w:type="dxa"/>
                  <w:textDirection w:val="lrTb"/>
                  <w:noWrap w:val="false"/>
                </w:tcPr>
                <w:p>
                  <w:pPr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3474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Автомобиль марки: ТОЙОТА КАРИНА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Год выпуска: 1988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Государственный регистрационный знак: Т071МЕ19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Идентификационный номер: ОТСУТСТВУЕТ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Тип ТС: Легковой седан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Шасси (рама) №: отсутствует 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Кузов: </w:t>
                  </w:r>
                  <w:r>
                    <w:rPr>
                      <w:sz w:val="20"/>
                      <w:szCs w:val="20"/>
                    </w:rPr>
                    <w:t xml:space="preserve">S</w:t>
                  </w:r>
                  <w:r>
                    <w:rPr>
                      <w:sz w:val="20"/>
                      <w:szCs w:val="20"/>
                    </w:rPr>
                    <w:t xml:space="preserve">T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-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  <w:t xml:space="preserve">5</w:t>
                  </w:r>
                  <w:r>
                    <w:rPr>
                      <w:sz w:val="20"/>
                      <w:szCs w:val="20"/>
                    </w:rPr>
                    <w:t xml:space="preserve">6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 Цвет кузова: </w:t>
                  </w:r>
                  <w:r>
                    <w:rPr>
                      <w:sz w:val="20"/>
                      <w:szCs w:val="20"/>
                    </w:rPr>
                    <w:t xml:space="preserve">Серый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Разрешенная максимальная масса, кг: 1445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Масса без нагрузки, кг: 1</w:t>
                  </w:r>
                  <w:r>
                    <w:rPr>
                      <w:sz w:val="20"/>
                      <w:szCs w:val="20"/>
                    </w:rPr>
                    <w:t xml:space="preserve">040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</w:pPr>
                  <w:r/>
                  <w:r/>
                </w:p>
              </w:tc>
              <w:tc>
                <w:tcPr>
                  <w:tcW w:w="1217" w:type="dxa"/>
                  <w:textDirection w:val="lrTb"/>
                  <w:noWrap w:val="false"/>
                </w:tcPr>
                <w:p>
                  <w:pPr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</w:r>
                  <w:r>
                    <w:rPr>
                      <w:sz w:val="20"/>
                      <w:szCs w:val="20"/>
                      <w:lang w:val="en-US"/>
                    </w:rPr>
                  </w:r>
                  <w:r>
                    <w:rPr>
                      <w:sz w:val="20"/>
                      <w:szCs w:val="20"/>
                      <w:lang w:val="en-US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</w:r>
                  <w:r>
                    <w:rPr>
                      <w:sz w:val="20"/>
                      <w:szCs w:val="20"/>
                      <w:lang w:val="en-US"/>
                    </w:rPr>
                    <w:t xml:space="preserve">199000</w:t>
                  </w:r>
                  <w:r>
                    <w:rPr>
                      <w:sz w:val="20"/>
                      <w:szCs w:val="20"/>
                      <w:lang w:val="en-US"/>
                    </w:rPr>
                  </w:r>
                  <w:r>
                    <w:rPr>
                      <w:sz w:val="20"/>
                      <w:szCs w:val="20"/>
                      <w:lang w:val="en-US"/>
                    </w:rPr>
                  </w:r>
                </w:p>
                <w:p>
                  <w:pPr>
                    <w:jc w:val="center"/>
                  </w:pPr>
                  <w:r/>
                  <w:r/>
                </w:p>
              </w:tc>
            </w:tr>
          </w:tbl>
          <w:p>
            <w:r>
              <w:t xml:space="preserve">Ознакомление с имуществом производится по адресу:</w:t>
            </w:r>
            <w:r>
              <w:rPr>
                <w:sz w:val="20"/>
                <w:szCs w:val="20"/>
              </w:rPr>
              <w:t xml:space="preserve">Республика Хакасия, г. Абаза, ул. Транспортная, д.7А</w:t>
            </w:r>
            <w:r/>
            <w:r/>
            <w:r>
              <w:t xml:space="preserve">, с момента публикации сообщения о продаже имущества и до окончания приема заявок по предварительной записи по телефону:</w:t>
            </w:r>
            <w:r>
              <w:t xml:space="preserve"> </w:t>
            </w:r>
            <w:r>
              <w:rPr>
                <w:lang w:val="en-US"/>
              </w:rPr>
              <w:t xml:space="preserve">89600091050</w:t>
            </w:r>
            <w:r/>
          </w:p>
          <w:p>
            <w:r>
              <w:t xml:space="preserve">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2.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Сроки продажи имущества</w:t>
            </w:r>
            <w:r/>
          </w:p>
        </w:tc>
        <w:tc>
          <w:tcPr>
            <w:tcW w:w="7059" w:type="dxa"/>
            <w:textDirection w:val="lrTb"/>
            <w:noWrap w:val="false"/>
          </w:tcPr>
          <w:p>
            <w:r>
              <w:t xml:space="preserve">Организовать продажу имущества в течение </w:t>
            </w:r>
            <w:r>
              <w:t xml:space="preserve">15</w:t>
            </w:r>
            <w:r>
              <w:t xml:space="preserve"> со дня утверждения судом настоящего Положения.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3.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Организатор торгов</w:t>
            </w:r>
            <w:r/>
          </w:p>
        </w:tc>
        <w:tc>
          <w:tcPr>
            <w:tcW w:w="7059" w:type="dxa"/>
            <w:textDirection w:val="lrTb"/>
            <w:noWrap w:val="false"/>
          </w:tcPr>
          <w:p>
            <w:r>
              <w:t xml:space="preserve">Финансовый управляющий </w:t>
            </w:r>
            <w:r>
              <w:rPr>
                <w:sz w:val="24"/>
                <w:szCs w:val="24"/>
              </w:rPr>
            </w:r>
            <w:r>
              <w:rPr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b w:val="0"/>
                <w:bCs w:val="0"/>
                <w:sz w:val="18"/>
                <w:szCs w:val="18"/>
              </w:rPr>
              <w:t xml:space="preserve">Охремчука Дениса Владимировича</w:t>
            </w:r>
            <w:r/>
            <w:r/>
            <w:r>
              <w:t xml:space="preserve"> </w:t>
            </w:r>
            <w:r>
              <w:t xml:space="preserve">Косточкина Мария Васильевна</w:t>
            </w:r>
            <w:r>
              <w:t xml:space="preserve">, </w:t>
            </w:r>
            <w:r>
              <w:t xml:space="preserve">действующий на основании решения Арбитражного суда </w:t>
            </w:r>
            <w:r>
              <w:rPr>
                <w:sz w:val="20"/>
                <w:szCs w:val="20"/>
              </w:rPr>
              <w:t xml:space="preserve">Республики Хакасия</w:t>
            </w:r>
            <w:r>
              <w:rPr>
                <w:sz w:val="20"/>
                <w:szCs w:val="20"/>
              </w:rPr>
              <w:t xml:space="preserve"> </w:t>
            </w:r>
            <w:r/>
            <w:r>
              <w:t xml:space="preserve"> от </w:t>
            </w:r>
            <w:r>
              <w:rPr>
                <w:sz w:val="20"/>
                <w:szCs w:val="20"/>
              </w:rPr>
              <w:t xml:space="preserve">31.03.2026 г</w:t>
            </w:r>
            <w:r/>
            <w:r>
              <w:t xml:space="preserve">. по делу № </w:t>
            </w:r>
            <w:r>
              <w:rPr>
                <w:sz w:val="20"/>
                <w:szCs w:val="20"/>
              </w:rPr>
              <w:t xml:space="preserve"> А74-13811/2025</w:t>
            </w:r>
            <w:r/>
            <w:r/>
            <w:r/>
          </w:p>
          <w:p>
            <w:r>
              <w:t xml:space="preserve">Организатор торгов выполняет следующие функции:</w:t>
            </w:r>
            <w:r/>
          </w:p>
          <w:p>
            <w:r>
              <w:t xml:space="preserve">- опубликовывает и размещает сообщение о продаже имущества и сообщение о результатах проведения торгов;</w:t>
            </w:r>
            <w:r/>
          </w:p>
          <w:p>
            <w:r>
              <w:t xml:space="preserve">- определяет участников торгов;</w:t>
            </w:r>
            <w:r/>
          </w:p>
          <w:p>
            <w:r>
              <w:t xml:space="preserve">- определяет победителя торгов и подписывает протокол о результатах проведения торгов;</w:t>
            </w:r>
            <w:r/>
          </w:p>
          <w:p>
            <w:pPr>
              <w:rPr>
                <w:lang w:val="en-US"/>
              </w:rPr>
            </w:pPr>
            <w:r>
              <w:t xml:space="preserve">- уведомляет заявителей и участников торгов о результатах проведения торгов.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r>
              <w:t xml:space="preserve">Сведения об организаторе торгов:</w:t>
            </w:r>
            <w:r/>
          </w:p>
          <w:p>
            <w:r>
              <w:t xml:space="preserve">- почтовый адрес:</w:t>
            </w:r>
            <w:r>
              <w:t xml:space="preserve"> </w:t>
            </w:r>
            <w:r>
              <w:t xml:space="preserve">163046, Архангельская область, Архангельск, Воскресенская, 59, 2 этаж</w:t>
            </w:r>
            <w:r/>
          </w:p>
          <w:p>
            <w:r>
              <w:t xml:space="preserve">- адрес электронной почты:</w:t>
            </w:r>
            <w:r>
              <w:t xml:space="preserve"> </w:t>
            </w:r>
            <w:r>
              <w:t xml:space="preserve">mkostochkina00@mail.ru</w:t>
            </w:r>
            <w:r/>
          </w:p>
          <w:p>
            <w:r>
              <w:t xml:space="preserve">- контактный номер: </w:t>
            </w:r>
            <w:r>
              <w:rPr>
                <w:lang w:val="en-US"/>
              </w:rPr>
              <w:t xml:space="preserve">89600091050</w:t>
            </w:r>
            <w:r/>
          </w:p>
          <w:p>
            <w:r/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4.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tcW w:w="7059" w:type="dxa"/>
            <w:textDirection w:val="lrTb"/>
            <w:noWrap w:val="false"/>
          </w:tcPr>
          <w:p>
            <w:r>
              <w:t xml:space="preserve">Продажа имущества должника осуществляется путем проведения открытых торгов в форме аукциона с </w:t>
            </w:r>
            <w:r>
              <w:t xml:space="preserve">открытой формой представления предложений о цене имущества.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5.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Место проведения торгов</w:t>
            </w:r>
            <w:r/>
          </w:p>
        </w:tc>
        <w:tc>
          <w:tcPr>
            <w:tcW w:w="7059" w:type="dxa"/>
            <w:textDirection w:val="lrTb"/>
            <w:noWrap w:val="false"/>
          </w:tcPr>
          <w:p>
            <w:r>
              <w:t xml:space="preserve">Торги проводятся в электронной форме на электронной площадке </w:t>
            </w:r>
            <w:r>
              <w:t xml:space="preserve">Аукцион</w:t>
            </w:r>
            <w:r>
              <w:rPr>
                <w:lang w:val="en-US"/>
              </w:rPr>
              <w:t xml:space="preserve">PRO</w:t>
            </w:r>
            <w:r>
              <w:t xml:space="preserve">, размещенной на сайте </w:t>
            </w:r>
            <w:r>
              <w:rPr>
                <w:lang w:val="en-US"/>
              </w:rPr>
              <w:t xml:space="preserve">au</w:t>
            </w:r>
            <w:r>
              <w:t xml:space="preserve">-</w:t>
            </w:r>
            <w:r>
              <w:rPr>
                <w:lang w:val="en-US"/>
              </w:rPr>
              <w:t xml:space="preserve">pro</w:t>
            </w:r>
            <w:r>
              <w:t xml:space="preserve">.</w:t>
            </w:r>
            <w:r>
              <w:rPr>
                <w:lang w:val="en-US"/>
              </w:rPr>
              <w:t xml:space="preserve">ru</w:t>
            </w:r>
            <w:r>
              <w:t xml:space="preserve"> в сети Интернет.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6.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Размер задатка</w:t>
            </w:r>
            <w:r/>
          </w:p>
        </w:tc>
        <w:tc>
          <w:tcPr>
            <w:tcW w:w="7059" w:type="dxa"/>
            <w:textDirection w:val="lrTb"/>
            <w:noWrap w:val="false"/>
          </w:tcPr>
          <w:p>
            <w:pPr>
              <w:rPr>
                <w:lang w:val="en-US"/>
              </w:rPr>
            </w:pPr>
            <w:r>
              <w:t xml:space="preserve">Лот № 1: </w:t>
            </w:r>
            <w:r>
              <w:rPr>
                <w:lang w:val="en-US"/>
              </w:rPr>
              <w:t xml:space="preserve">10%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7.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Срок и порядок внесения задатка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1. Срок внесения задатка - не позднее даты окончания срока приема заявок на участие в торгах. 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2. Внесение задатка осуществляется по следующим реквизитам: 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Валюта получаемого перевода: Российский рубль (RUB)</w:t>
            </w:r>
            <w:r/>
          </w:p>
          <w:p>
            <w:r>
              <w:rPr>
                <w:color w:val="000000"/>
              </w:rPr>
              <w:t xml:space="preserve">Охремчук Денис Владимирович </w:t>
            </w:r>
            <w:r/>
          </w:p>
          <w:p>
            <w:r>
              <w:rPr>
                <w:color w:val="000000"/>
              </w:rPr>
            </w:r>
            <w:r/>
          </w:p>
          <w:p>
            <w:r>
              <w:rPr>
                <w:color w:val="000000"/>
              </w:rPr>
              <w:t xml:space="preserve">40817810750224016051 Задатковый</w:t>
            </w:r>
            <w:r/>
          </w:p>
          <w:p>
            <w:r>
              <w:rPr>
                <w:color w:val="000000"/>
              </w:rPr>
            </w:r>
            <w:r/>
          </w:p>
          <w:p>
            <w:r>
              <w:rPr>
                <w:color w:val="000000"/>
              </w:rPr>
              <w:t xml:space="preserve">ФИЛИАЛ "ЦЕНТРАЛЬНЫЙ" ПАО "СОВКОМБАНК"</w:t>
            </w:r>
            <w:r/>
          </w:p>
          <w:p>
            <w:r>
              <w:rPr>
                <w:color w:val="000000"/>
              </w:rPr>
            </w:r>
            <w:r/>
          </w:p>
          <w:p>
            <w:r>
              <w:rPr>
                <w:color w:val="000000"/>
              </w:rPr>
              <w:t xml:space="preserve">633011, РОССИЙСКАЯ ФЕДЕРАЦИЯ, НОВОСИБИРСКАЯ ОБЛ,</w:t>
            </w:r>
            <w:r/>
          </w:p>
          <w:p>
            <w:r>
              <w:rPr>
                <w:color w:val="000000"/>
              </w:rPr>
            </w:r>
            <w:r/>
          </w:p>
          <w:p>
            <w:r>
              <w:rPr>
                <w:color w:val="000000"/>
              </w:rPr>
              <w:t xml:space="preserve">БЕРДСК Г, ПОПОВА УЛ, 11 Телефон: 8-800-100-00-06</w:t>
            </w:r>
            <w:r/>
          </w:p>
          <w:p>
            <w:r>
              <w:rPr>
                <w:color w:val="000000"/>
              </w:rPr>
            </w:r>
            <w:r/>
          </w:p>
          <w:p>
            <w:r>
              <w:rPr>
                <w:color w:val="000000"/>
              </w:rPr>
              <w:t xml:space="preserve">БИК 045004763 ИНН 4401116480 ОГРН 1144400000425</w:t>
            </w:r>
            <w:r/>
          </w:p>
          <w:p>
            <w:r>
              <w:rPr>
                <w:color w:val="000000"/>
              </w:rPr>
            </w:r>
            <w:r/>
          </w:p>
          <w:p>
            <w:r>
              <w:rPr>
                <w:color w:val="000000"/>
              </w:rPr>
              <w:t xml:space="preserve">Корр/счет 30101810150040000763</w:t>
            </w:r>
            <w:r/>
          </w:p>
          <w:p>
            <w:r>
              <w:rPr>
                <w:color w:val="000000"/>
              </w:rPr>
            </w:r>
            <w:r/>
          </w:p>
          <w:p>
            <w:r>
              <w:rPr>
                <w:color w:val="000000"/>
              </w:rPr>
              <w:t xml:space="preserve">КПП 544543001</w:t>
            </w:r>
            <w:r/>
            <w:r>
              <w:rPr>
                <w:color w:val="000000"/>
              </w:rPr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8.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Шаг аукциона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pPr>
              <w:rPr>
                <w:lang w:val="en-US"/>
              </w:rPr>
            </w:pPr>
            <w:r>
              <w:t xml:space="preserve">Лот № 1: </w:t>
            </w:r>
            <w:r>
              <w:rPr>
                <w:lang w:val="en-US"/>
              </w:rPr>
              <w:t xml:space="preserve">10%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9.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Сообщение о продаже имущества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Сообщение о продаже имущества публикуется в газете «Коммерсантъ», а также размещается на Едином федеральном реестре сведений о банкротстве не позднее, чем за 30 дней до даты проведения торгов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Текст сообщения должен содержать следующие сведения: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сведения о форме проведения торгов и форме представления предложений о цене имущества;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заявок, дата и время начала представления указанных предложений); 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размер задатка, сроки и порядок внесения задатка, реквизиты счетов, на которые вносится задаток;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начальная цена продажи имущества;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величина повышения начальной цены продажи имущества ("шаг аукциона");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порядок и критерии выявления победителя торгов;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дата, время и место подведения результатов торгов;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порядок и срок заключения договора купли-продажи имущества;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сроки платежей, реквизиты счетов, на которые вносятся платежи;</w:t>
            </w:r>
            <w:r/>
          </w:p>
          <w:p>
            <w:r>
              <w:rPr>
                <w:color w:val="000000"/>
              </w:rPr>
              <w:t xml:space="preserve">сведения об организаторе торгов, его почтовый адрес, адрес электронной почты, номер контактного телефона.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10.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Заявка на участие в торгах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а) наименование, организационно-правовая форма, место нахождения, почтовый адрес заявителя (для юридического лица);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б) фамилия, имя, отчество, паспортные данные, сведения о месте жительства заявителя (для физического лица);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в) номер контактного телефона, адрес электронной почты заявителя; 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г) сведения о наличии или об отсутствии заинтересованности заявителя по отношению к должнику, кредиторам, арбит</w:t>
            </w:r>
            <w:r>
              <w:rPr>
                <w:color w:val="000000"/>
                <w:sz w:val="20"/>
                <w:szCs w:val="20"/>
              </w:rPr>
              <w:t xml:space="preserve">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Для участия в открытых торгах заяв</w:t>
            </w:r>
            <w:r>
              <w:rPr>
                <w:color w:val="000000"/>
                <w:sz w:val="20"/>
                <w:szCs w:val="20"/>
              </w:rPr>
              <w:t xml:space="preserve">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</w:t>
            </w:r>
            <w:r>
              <w:rPr>
                <w:color w:val="000000"/>
                <w:sz w:val="20"/>
                <w:szCs w:val="20"/>
              </w:rPr>
              <w:t xml:space="preserve">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Заявит</w:t>
            </w:r>
            <w:r>
              <w:rPr>
                <w:color w:val="000000"/>
                <w:sz w:val="20"/>
                <w:szCs w:val="20"/>
              </w:rPr>
              <w:t xml:space="preserve">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  <w:r/>
          </w:p>
          <w:p>
            <w:r>
              <w:rPr>
                <w:color w:val="000000"/>
              </w:rPr>
              <w:t xml:space="preserve">В течение тридцати минут с момента представления заявки на участие в торгах такая заявка с помощью программно-аппа</w:t>
            </w:r>
            <w:r>
              <w:rPr>
                <w:color w:val="000000"/>
              </w:rPr>
              <w:t xml:space="preserve">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11.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Срок представле</w:t>
            </w:r>
            <w:r>
              <w:t xml:space="preserve">ния заявок на участие в</w:t>
            </w:r>
            <w:r>
              <w:t xml:space="preserve"> торгах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r>
              <w:rPr>
                <w:color w:val="000000"/>
              </w:rP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12.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Определение участников торгов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Не позднее тридцати минут после окон</w:t>
            </w:r>
            <w:r>
              <w:rPr>
                <w:color w:val="000000"/>
                <w:sz w:val="20"/>
                <w:szCs w:val="20"/>
              </w:rPr>
              <w:t xml:space="preserve">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Организатор торгов посредством программно-аппаратных средств сайта формирует протокол об определении участников торгов не позднее</w:t>
            </w:r>
            <w:r>
              <w:rPr>
                <w:color w:val="000000"/>
                <w:sz w:val="20"/>
                <w:szCs w:val="20"/>
              </w:rPr>
              <w:t xml:space="preserve">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В течение пяти календарных дней со дня подписания и направлени</w:t>
            </w:r>
            <w:r>
              <w:rPr>
                <w:color w:val="000000"/>
                <w:sz w:val="20"/>
                <w:szCs w:val="20"/>
              </w:rPr>
              <w:t xml:space="preserve">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</w:t>
            </w:r>
            <w:r>
              <w:rPr>
                <w:color w:val="000000"/>
                <w:sz w:val="20"/>
                <w:szCs w:val="20"/>
              </w:rPr>
              <w:t xml:space="preserve">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К участи</w:t>
            </w:r>
            <w:r>
              <w:rPr>
                <w:color w:val="000000"/>
                <w:sz w:val="20"/>
                <w:szCs w:val="20"/>
              </w:rPr>
              <w:t xml:space="preserve">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Решение об отказе в допуске заявителя к участию в торгах принимается в случае, если: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- заявка на участие в торгах не соответствует требованиям, указанным в сообщении о проведении торгов;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- представленные заявителем документы не соответствуют установленным к ним требованиям или недостоверны;</w:t>
            </w:r>
            <w:r/>
          </w:p>
          <w:p>
            <w:r>
              <w:rPr>
                <w:color w:val="000000"/>
              </w:rPr>
      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13.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Порядок проведения торгов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 с указанием точного времени их поступления, а также времени, оставшегося до истечения срока представления таких предложений. 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Торги проводятся путем повышения начальной цены продажи имущества на величину, равную "шагу аукциона".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</w:t>
            </w:r>
            <w:r>
              <w:rPr>
                <w:color w:val="000000"/>
                <w:sz w:val="20"/>
                <w:szCs w:val="20"/>
              </w:rPr>
              <w:t xml:space="preserve">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а) предложение о цене представлено по истечении установленного срока представления предложений о цене;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б) предложение о цене увеличено в размере, не равном "шагу аукциона", меньше или равно ранее представленному предложению о цене;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в) одним участником представлено второе предложение о цене подряд при отсутствии предложений других участников торгов.</w:t>
            </w:r>
            <w:r/>
          </w:p>
          <w:p>
            <w:r>
              <w:rPr>
                <w:color w:val="000000"/>
              </w:rPr>
              <w:t xml:space="preserve">Выигравшим аукцион признается участник, предложивший наиболее высокую цену за продаваемое имущество.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14.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Подведение результатов торгов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Не </w:t>
            </w:r>
            <w:r>
              <w:rPr>
                <w:color w:val="000000"/>
                <w:sz w:val="20"/>
                <w:szCs w:val="20"/>
              </w:rPr>
              <w:t xml:space="preserve">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Организат</w:t>
            </w:r>
            <w:r>
              <w:rPr>
                <w:color w:val="000000"/>
                <w:sz w:val="20"/>
                <w:szCs w:val="20"/>
              </w:rPr>
              <w:t xml:space="preserve">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Протокол о результатах проведения торгов размещается оператором электронной площадки на электронной площадке.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Не позднее тридцати минут после размещения</w:t>
            </w:r>
            <w:r>
              <w:rPr>
                <w:color w:val="000000"/>
                <w:sz w:val="20"/>
                <w:szCs w:val="20"/>
              </w:rPr>
              <w:t xml:space="preserve">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окончания срока представления заявок на участие в торгах при отсутствии заявок на участие в торгах;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Организат</w:t>
            </w:r>
            <w:r>
              <w:rPr>
                <w:color w:val="000000"/>
                <w:sz w:val="20"/>
                <w:szCs w:val="20"/>
              </w:rPr>
              <w:t xml:space="preserve">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Решение о признании торгов несостоявшимися размещается оператором электронной площадки на электронной площадке.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Не позднее тридцати минут посл</w:t>
            </w:r>
            <w:r>
              <w:rPr>
                <w:color w:val="000000"/>
                <w:sz w:val="20"/>
                <w:szCs w:val="20"/>
              </w:rPr>
              <w:t xml:space="preserve">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</w:t>
            </w:r>
            <w:r>
              <w:rPr>
                <w:color w:val="000000"/>
                <w:sz w:val="20"/>
                <w:szCs w:val="20"/>
              </w:rPr>
              <w:t xml:space="preserve">в торгах.</w:t>
            </w:r>
            <w:r/>
          </w:p>
          <w:p>
            <w:r>
              <w:rPr>
                <w:color w:val="000000"/>
              </w:rPr>
              <w:t xml:space="preserve">Если к участию в торгах был допущен тол</w:t>
            </w:r>
            <w:r>
              <w:rPr>
                <w:color w:val="000000"/>
              </w:rPr>
              <w:t xml:space="preserve">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Порядок и срок заключения договора купли-продажи имущества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В течение пяти дней</w:t>
            </w:r>
            <w:r>
              <w:rPr>
                <w:color w:val="000000"/>
                <w:sz w:val="20"/>
                <w:szCs w:val="20"/>
              </w:rPr>
              <w:t xml:space="preserve">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r>
              <w:rPr>
                <w:color w:val="000000"/>
              </w:rPr>
              <w:t xml:space="preserve"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</w:t>
            </w:r>
            <w:r>
              <w:rPr>
                <w:color w:val="000000"/>
              </w:rPr>
              <w:t xml:space="preserve">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Условия возврата задатка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r>
              <w:rPr>
                <w:color w:val="000000"/>
              </w:rPr>
              <w:t xml:space="preserve"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Условия оплаты имущества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Валюта получаемого перевода: Российский рубль (RUB)</w:t>
            </w:r>
            <w:r/>
            <w:r/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Охремчук Денис Владимирович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40817810750224016051 Задатковый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ФИЛИАЛ "ЦЕНТРАЛЬНЫЙ" ПАО "СОВКОМБАНК"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633011, РОССИЙСКАЯ ФЕДЕРАЦИЯ, НОВОСИБИРСКАЯ ОБЛ,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БЕРДСК Г, ПОПОВА УЛ, 11 Телефон: 8-800-100-00-06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БИК 045004763 ИНН 4401116480 ОГРН 1144400000425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Корр/счет 30101810150040000763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r>
              <w:rPr>
                <w:color w:val="000000"/>
              </w:rPr>
              <w:t xml:space="preserve">КПП 544543001</w:t>
            </w:r>
            <w:r/>
            <w:r/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r>
              <w:rPr>
                <w:color w:val="000000"/>
              </w:rPr>
              <w:t xml:space="preserve">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Оформление договора купли-продажи имущества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Обязательными условиями договора купли-продажи имущества являются: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сведения об имуществе, его составе, характеристиках, описание имущества;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цена продажи имущества;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порядок и срок передачи имущества покупателю;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сведения о наличии или об отсутствии обременении в отношении имущества, в том числе публичного сервитута;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иные предусмотренные законодательством Российской Федерации условия.</w:t>
            </w:r>
            <w:r/>
          </w:p>
          <w:p>
            <w:r>
              <w:rPr>
                <w:color w:val="000000"/>
              </w:rP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r>
              <w:rPr>
                <w:color w:val="0000ff"/>
                <w:u w:val="single"/>
              </w:rPr>
              <w:t xml:space="preserve">законодательством</w:t>
            </w:r>
            <w:r>
              <w:rPr>
                <w:color w:val="000000"/>
              </w:rPr>
              <w:t xml:space="preserve"> Российской Федерации.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Проведение повторных торгов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В случае признания торгов несостоявшимися и незаключения договора купли-продаж</w:t>
            </w:r>
            <w:r>
              <w:rPr>
                <w:color w:val="000000"/>
                <w:sz w:val="20"/>
                <w:szCs w:val="20"/>
              </w:rPr>
              <w:t xml:space="preserve">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</w:t>
            </w:r>
            <w:r>
              <w:rPr>
                <w:color w:val="000000"/>
                <w:sz w:val="20"/>
                <w:szCs w:val="20"/>
              </w:rPr>
              <w:t xml:space="preserve">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Повторные торги проводятся в соответствии с условиями проведения </w:t>
            </w:r>
            <w:r>
              <w:rPr>
                <w:color w:val="000000"/>
                <w:sz w:val="20"/>
                <w:szCs w:val="20"/>
              </w:rPr>
              <w:t xml:space="preserve">первоначальных торгов.</w:t>
            </w:r>
            <w:r/>
          </w:p>
          <w:p>
            <w:r>
              <w:rPr>
                <w:color w:val="000000"/>
              </w:rPr>
      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В случае, если повторные торги по продаже имущества должника признаны несостоявш</w:t>
            </w:r>
            <w:r>
              <w:rPr>
                <w:color w:val="000000"/>
                <w:sz w:val="20"/>
                <w:szCs w:val="20"/>
              </w:rP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  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Величина снижения начальной цены продажи имущества должника - 10 %.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</w:t>
            </w:r>
            <w:r>
              <w:rPr>
                <w:color w:val="000000"/>
                <w:sz w:val="20"/>
                <w:szCs w:val="20"/>
              </w:rP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</w:t>
            </w:r>
            <w:r>
              <w:rPr>
                <w:color w:val="000000"/>
                <w:sz w:val="20"/>
                <w:szCs w:val="20"/>
              </w:rPr>
              <w:t xml:space="preserve">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</w:t>
            </w:r>
            <w:r>
              <w:rPr>
                <w:color w:val="000000"/>
                <w:sz w:val="20"/>
                <w:szCs w:val="20"/>
              </w:rPr>
              <w:t xml:space="preserve">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</w:t>
            </w:r>
            <w:r>
              <w:rPr>
                <w:color w:val="000000"/>
                <w:sz w:val="20"/>
                <w:szCs w:val="20"/>
              </w:rPr>
              <w:t xml:space="preserve">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</w:t>
            </w:r>
            <w:r>
              <w:rPr>
                <w:color w:val="000000"/>
                <w:sz w:val="20"/>
                <w:szCs w:val="20"/>
              </w:rPr>
              <w:t xml:space="preserve">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</w:t>
            </w:r>
            <w:r>
              <w:rPr>
                <w:color w:val="000000"/>
                <w:sz w:val="20"/>
                <w:szCs w:val="20"/>
              </w:rP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При участии в торгах посредством публичного пред</w:t>
            </w:r>
            <w:r>
              <w:rPr>
                <w:color w:val="000000"/>
                <w:sz w:val="20"/>
                <w:szCs w:val="20"/>
              </w:rPr>
              <w:t xml:space="preserve">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Заявки на участие в торгах, поступившие в т</w:t>
            </w:r>
            <w:r>
              <w:rPr>
                <w:color w:val="000000"/>
                <w:sz w:val="20"/>
                <w:szCs w:val="20"/>
              </w:rP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Определение участников торгов, проводимых </w:t>
            </w:r>
            <w:r>
              <w:rPr>
                <w:color w:val="000000"/>
                <w:sz w:val="20"/>
                <w:szCs w:val="20"/>
              </w:rPr>
              <w:t xml:space="preserve">в форме публичного предложения</w:t>
            </w:r>
            <w:r>
              <w:rPr>
                <w:color w:val="000000"/>
                <w:sz w:val="20"/>
                <w:szCs w:val="20"/>
              </w:rPr>
              <w:t xml:space="preserve"> осуществляется в следующем порядке: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</w:t>
            </w:r>
            <w:r>
              <w:rPr>
                <w:color w:val="000000"/>
                <w:sz w:val="20"/>
                <w:szCs w:val="20"/>
              </w:rPr>
              <w:t xml:space="preserve">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окончания периода проведения торгов.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</w:t>
            </w:r>
            <w:r>
              <w:rPr>
                <w:color w:val="000000"/>
                <w:sz w:val="20"/>
                <w:szCs w:val="20"/>
              </w:rPr>
              <w:t xml:space="preserve">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завершения торгов вследствие оставления конкурсным кредитором предмета залога за собой;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окончания периода проведения торгов.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По результатам проведения торгов оператором электронной площадки </w:t>
            </w:r>
            <w:r>
              <w:rPr>
                <w:color w:val="000000"/>
                <w:sz w:val="20"/>
                <w:szCs w:val="20"/>
              </w:rPr>
              <w:t xml:space="preserve">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получения от организатора торгов (по окончании любого периода проведения торгов или по завершени</w:t>
            </w:r>
            <w:r>
              <w:rPr>
                <w:color w:val="000000"/>
                <w:sz w:val="20"/>
                <w:szCs w:val="20"/>
              </w:rPr>
              <w:t xml:space="preserve">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rPr>
                <w:color w:val="000000"/>
                <w:sz w:val="20"/>
                <w:szCs w:val="20"/>
              </w:rP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rPr>
                <w:color w:val="000000"/>
                <w:sz w:val="20"/>
                <w:szCs w:val="20"/>
              </w:rP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</w:p>
          <w:p>
            <w:pPr>
              <w:pStyle w:val="839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</w:p>
          <w:p>
            <w:r>
              <w:rPr>
                <w:color w:val="000000"/>
              </w:rPr>
              <w:t xml:space="preserve">Не позднее тридцати минут после размещения на электронной площадке указанных прото</w:t>
            </w:r>
            <w:r>
              <w:rPr>
                <w:color w:val="000000"/>
              </w:rP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</w:tc>
      </w:tr>
    </w:tbl>
    <w:p>
      <w:r/>
      <w:r/>
    </w:p>
    <w:p>
      <w:pPr>
        <w:jc w:val="both"/>
      </w:pPr>
      <w:r/>
      <w:r/>
    </w:p>
    <w:p>
      <w:pPr>
        <w:ind w:left="-567"/>
        <w:jc w:val="both"/>
      </w:pPr>
      <w:r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>
        <w:t xml:space="preserve">Приказом Минэкономразвития России от 23.07.2015 N 495 «Об утверждении Порядка проведения торгов в электронной форме по продаж</w:t>
      </w:r>
      <w:r>
        <w:t xml:space="preserve">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</w:t>
      </w:r>
      <w:r>
        <w:t xml:space="preserve">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</w:t>
      </w:r>
      <w:r>
        <w:t xml:space="preserve">силу некоторых приказов Минэкономразвития России».</w:t>
      </w:r>
      <w:r/>
    </w:p>
    <w:p>
      <w:pPr>
        <w:pStyle w:val="838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>
        <w:tblPrEx/>
        <w:trPr>
          <w:tblCellSpacing w:w="0" w:type="dxa"/>
        </w:trPr>
        <w:tc>
          <w:tcPr>
            <w:tcW w:w="2484" w:type="pct"/>
            <w:textDirection w:val="lrTb"/>
            <w:noWrap w:val="false"/>
          </w:tcPr>
          <w:p>
            <w:r/>
            <w:r/>
          </w:p>
          <w:p>
            <w:r>
              <w:t xml:space="preserve">Финансовый управляющий</w:t>
            </w:r>
            <w:r>
              <w:rPr>
                <w:bCs/>
              </w:rPr>
              <w:br/>
            </w:r>
            <w:r>
              <w:rPr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t xml:space="preserve">Охремчука Дениса Владимировича</w:t>
            </w:r>
            <w:r>
              <w:rPr>
                <w:sz w:val="20"/>
                <w:szCs w:val="20"/>
              </w:rPr>
              <w:t xml:space="preserve"> </w:t>
            </w:r>
            <w:r/>
            <w:r>
              <w:rPr>
                <w:bCs/>
              </w:rPr>
            </w:r>
            <w:r/>
          </w:p>
        </w:tc>
        <w:tc>
          <w:tcPr>
            <w:tcW w:w="0" w:type="auto"/>
            <w:vAlign w:val="center"/>
            <w:textDirection w:val="lrTb"/>
            <w:noWrap w:val="false"/>
          </w:tcPr>
          <w:p>
            <w:r>
              <w:t xml:space="preserve"> </w:t>
            </w:r>
            <w:r/>
          </w:p>
        </w:tc>
        <w:tc>
          <w:tcPr>
            <w:tcW w:w="2484" w:type="pct"/>
            <w:textDirection w:val="lrTb"/>
            <w:noWrap w:val="false"/>
          </w:tcPr>
          <w:p>
            <w:pPr>
              <w:pStyle w:val="8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М.В. Косточкина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jc w:val="both"/>
      </w:pPr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basedOn w:val="832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basedOn w:val="832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basedOn w:val="832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basedOn w:val="832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basedOn w:val="832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basedOn w:val="832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basedOn w:val="832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basedOn w:val="832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basedOn w:val="832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List Paragraph"/>
    <w:basedOn w:val="831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832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  <w:pPr>
      <w:widowControl w:val="off"/>
    </w:pPr>
    <w:rPr>
      <w:rFonts w:ascii="Times New Roman" w:hAnsi="Times New Roman" w:eastAsia="Times New Roman"/>
    </w:rPr>
  </w:style>
  <w:style w:type="character" w:styleId="832" w:default="1">
    <w:name w:val="Default Paragraph Font"/>
    <w:uiPriority w:val="1"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 w:customStyle="1">
    <w:name w:val="Обычный1"/>
    <w:rPr>
      <w:rFonts w:ascii="Times New Roman" w:hAnsi="Times New Roman" w:eastAsia="Times New Roman"/>
    </w:rPr>
  </w:style>
  <w:style w:type="table" w:styleId="836">
    <w:name w:val="Table Grid"/>
    <w:basedOn w:val="833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7">
    <w:name w:val="Hyperlink"/>
    <w:uiPriority w:val="99"/>
    <w:unhideWhenUsed/>
    <w:rPr>
      <w:color w:val="0000ff"/>
      <w:u w:val="single"/>
    </w:rPr>
  </w:style>
  <w:style w:type="paragraph" w:styleId="838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839">
    <w:name w:val="Обычный (веб)"/>
    <w:basedOn w:val="831"/>
    <w:uiPriority w:val="99"/>
    <w:pPr>
      <w:spacing w:before="240" w:after="240"/>
      <w:widowControl/>
    </w:pPr>
    <w:rPr>
      <w:sz w:val="24"/>
      <w:szCs w:val="24"/>
    </w:rPr>
  </w:style>
  <w:style w:type="paragraph" w:styleId="1_802" w:customStyle="1">
    <w:name w:val="Normal (Web)"/>
    <w:basedOn w:val="830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2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1820" w:customStyle="1">
    <w:name w:val="indent"/>
    <w:basedOn w:val="830"/>
    <w:pPr>
      <w:contextualSpacing w:val="0"/>
      <w:ind w:left="0" w:right="0" w:firstLine="708"/>
      <w:jc w:val="both"/>
      <w:keepLines w:val="0"/>
      <w:keepNext w:val="0"/>
      <w:pageBreakBefore w:val="0"/>
      <w:spacing w:before="12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Kalining</dc:creator>
  <cp:keywords/>
  <dc:description/>
  <cp:lastModifiedBy>alesh</cp:lastModifiedBy>
  <cp:revision>4</cp:revision>
  <dcterms:created xsi:type="dcterms:W3CDTF">2026-04-28T10:29:00Z</dcterms:created>
  <dcterms:modified xsi:type="dcterms:W3CDTF">2026-05-07T14:28:43Z</dcterms:modified>
</cp:coreProperties>
</file>