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618"/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Арбитражный суд Тюменской области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финансового управляющего </w:t>
            </w:r>
            <w:r>
              <w:rPr>
                <w:sz w:val="24"/>
                <w:szCs w:val="24"/>
              </w:rPr>
              <w:t xml:space="preserve">Айсатова Минигали Хусаиновича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Косточкиной Марии Васильевны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622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2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порядке, об условиях и о сроках реализации</w:t>
      </w:r>
      <w:r>
        <w:rPr>
          <w:b/>
          <w:sz w:val="24"/>
          <w:szCs w:val="24"/>
        </w:rPr>
        <w:t xml:space="preserve"> имущества </w:t>
      </w:r>
      <w:r>
        <w:rPr>
          <w:b/>
          <w:sz w:val="24"/>
          <w:szCs w:val="24"/>
        </w:rPr>
        <w:t xml:space="preserve">Айсатова Минигали Хусаиновича</w:t>
      </w:r>
      <w:r>
        <w:rPr>
          <w:b/>
          <w:sz w:val="24"/>
          <w:szCs w:val="24"/>
          <w:lang w:val="en-US"/>
        </w:rPr>
      </w:r>
      <w:r>
        <w:rPr>
          <w:b/>
          <w:sz w:val="24"/>
          <w:szCs w:val="24"/>
          <w:lang w:val="en-US"/>
        </w:rPr>
      </w:r>
    </w:p>
    <w:p>
      <w:pPr>
        <w:pStyle w:val="62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дата рождения: </w:t>
      </w:r>
      <w:r>
        <w:rPr>
          <w:sz w:val="24"/>
          <w:szCs w:val="24"/>
        </w:rPr>
        <w:t xml:space="preserve">09.06.1958</w:t>
      </w:r>
      <w:r>
        <w:rPr>
          <w:sz w:val="24"/>
          <w:szCs w:val="24"/>
        </w:rPr>
        <w:t xml:space="preserve">, место рождения: </w:t>
      </w:r>
      <w:r>
        <w:rPr>
          <w:sz w:val="24"/>
          <w:szCs w:val="24"/>
        </w:rPr>
        <w:t xml:space="preserve">д. Хутор Усть-Ишимский р-н РФ, Омская обл.</w:t>
      </w:r>
      <w:r>
        <w:rPr>
          <w:sz w:val="24"/>
          <w:szCs w:val="24"/>
        </w:rPr>
        <w:t xml:space="preserve">, СНИЛС: </w:t>
      </w:r>
      <w:r>
        <w:rPr>
          <w:sz w:val="24"/>
          <w:szCs w:val="24"/>
        </w:rPr>
        <w:t xml:space="preserve">057-522-931 70</w:t>
      </w:r>
      <w:r>
        <w:rPr>
          <w:sz w:val="24"/>
          <w:szCs w:val="24"/>
        </w:rPr>
        <w:t xml:space="preserve">, ИНН </w:t>
      </w:r>
      <w:r>
        <w:rPr>
          <w:sz w:val="24"/>
          <w:szCs w:val="24"/>
        </w:rPr>
        <w:t xml:space="preserve">860503450278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регистрация по месту жительства: 625043, Тюменская область, г Тюмень, ул Станкостроителей, д 41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Опис</w:t>
                  </w:r>
                  <w:r>
                    <w:t xml:space="preserve">ание, характеристика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Автомобиль марки: </w:t>
                  </w:r>
                  <w:r>
                    <w:rPr>
                      <w:sz w:val="20"/>
                      <w:szCs w:val="20"/>
                    </w:rPr>
                    <w:t xml:space="preserve">N</w:t>
                  </w:r>
                  <w:r>
                    <w:rPr>
                      <w:sz w:val="20"/>
                      <w:szCs w:val="20"/>
                    </w:rPr>
                    <w:t xml:space="preserve">I</w:t>
                  </w:r>
                  <w:r>
                    <w:rPr>
                      <w:sz w:val="20"/>
                      <w:szCs w:val="20"/>
                    </w:rPr>
                    <w:t xml:space="preserve">S</w:t>
                  </w:r>
                  <w:r>
                    <w:rPr>
                      <w:sz w:val="20"/>
                      <w:szCs w:val="20"/>
                    </w:rPr>
                    <w:t xml:space="preserve">S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  <w:t xml:space="preserve">N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M</w:t>
                  </w:r>
                  <w:r>
                    <w:rPr>
                      <w:sz w:val="20"/>
                      <w:szCs w:val="20"/>
                    </w:rPr>
                    <w:t xml:space="preserve">E</w:t>
                  </w:r>
                  <w:r>
                    <w:rPr>
                      <w:sz w:val="20"/>
                      <w:szCs w:val="20"/>
                    </w:rPr>
                    <w:t xml:space="preserve">R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Год выпуска: 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Государственный регистрационный знак: С091ОР72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Идентификационный номер: 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N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  <w:t xml:space="preserve">J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9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Тип ТС: Легковой седан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Шасси (рама) №: отсутствует 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Кузов: </w:t>
                  </w:r>
                  <w:r>
                    <w:rPr>
                      <w:sz w:val="20"/>
                      <w:szCs w:val="20"/>
                    </w:rPr>
                    <w:t xml:space="preserve">Z</w:t>
                  </w:r>
                  <w:r>
                    <w:rPr>
                      <w:sz w:val="20"/>
                      <w:szCs w:val="20"/>
                    </w:rPr>
                    <w:t xml:space="preserve">8</w:t>
                  </w:r>
                  <w:r>
                    <w:rPr>
                      <w:sz w:val="20"/>
                      <w:szCs w:val="20"/>
                    </w:rPr>
                    <w:t xml:space="preserve">N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  <w:t xml:space="preserve">J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9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 Цвет кузова: </w:t>
                  </w:r>
                  <w:r>
                    <w:rPr>
                      <w:sz w:val="20"/>
                      <w:szCs w:val="20"/>
                    </w:rPr>
                    <w:t xml:space="preserve">СЕРО БЕЖЕВЫЙ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Разрешенная максимальная масса, кг: 1620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Масса без нагрузки, кг: 1</w:t>
                  </w:r>
                  <w:r>
                    <w:rPr>
                      <w:sz w:val="20"/>
                      <w:szCs w:val="20"/>
                    </w:rPr>
                    <w:t xml:space="preserve">311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8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8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t xml:space="preserve">449 000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8"/>
                    <w:jc w:val="center"/>
                  </w:pPr>
                  <w:r/>
                  <w:r/>
                </w:p>
              </w:tc>
            </w:tr>
          </w:tbl>
          <w:p>
            <w:pPr>
              <w:pStyle w:val="618"/>
            </w:pPr>
            <w:r>
              <w:t xml:space="preserve">Ознакомление с имуществом производится по адресу: </w:t>
            </w:r>
            <w:r>
              <w:rPr>
                <w:sz w:val="24"/>
                <w:szCs w:val="24"/>
              </w:rPr>
              <w:t xml:space="preserve">625043, Тюменская область, г Тюмень, ул Станкостроителей, д 41</w:t>
            </w:r>
            <w:r/>
            <w:r>
              <w:t xml:space="preserve">, с момента публикации сообщения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/>
            <w:r>
              <w:t xml:space="preserve">+79969844090</w:t>
            </w:r>
            <w:r/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Сроки 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/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Организатор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Финансовый управляющий </w:t>
            </w:r>
            <w:r>
              <w:t xml:space="preserve">Айсатова Минигали Хусаиновича</w:t>
            </w:r>
            <w:r>
              <w:t xml:space="preserve"> </w:t>
            </w:r>
            <w:r>
              <w:t xml:space="preserve">Косточкина Мария Васильевна</w:t>
            </w:r>
            <w:r>
              <w:t xml:space="preserve">, </w:t>
            </w:r>
            <w:r>
              <w:t xml:space="preserve">действующий на основании решения Арбитражного </w:t>
            </w:r>
            <w:r>
              <w:t xml:space="preserve">суда Тюменской области от 11.07.2025 г. (резолютивная часть объявлена 07.07.2025 г.) по делу № А70-11401/2025</w:t>
            </w:r>
            <w:r/>
          </w:p>
          <w:p>
            <w:pPr>
              <w:pStyle w:val="618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18"/>
            </w:pPr>
            <w:r>
              <w:t xml:space="preserve">- опубликовывает и размещает сообщение о продаже имущества и сообщение о ре</w:t>
            </w:r>
            <w:r>
              <w:t xml:space="preserve">зультатах проведения торгов;</w:t>
            </w:r>
            <w:r/>
          </w:p>
          <w:p>
            <w:pPr>
              <w:pStyle w:val="618"/>
            </w:pPr>
            <w:r>
              <w:t xml:space="preserve">- определяет участников торгов;</w:t>
            </w:r>
            <w:r/>
          </w:p>
          <w:p>
            <w:pPr>
              <w:pStyle w:val="618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618"/>
              <w:rPr>
                <w:lang w:val="en-US"/>
              </w:rPr>
            </w:pPr>
            <w:r>
              <w:t xml:space="preserve">- уведомляет заявителей и участников торгов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18"/>
            </w:pPr>
            <w:r>
              <w:t xml:space="preserve">Сведения об организаторе торгов:</w:t>
            </w:r>
            <w:r/>
          </w:p>
          <w:p>
            <w:pPr>
              <w:pStyle w:val="618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Архангельская область, Архангельск, Воскресенская, 59, 2 этаж</w:t>
            </w:r>
            <w:r/>
          </w:p>
          <w:p>
            <w:pPr>
              <w:pStyle w:val="618"/>
            </w:pPr>
            <w:r>
              <w:t xml:space="preserve">- адрес электронной почты:</w:t>
            </w:r>
            <w:r>
              <w:t xml:space="preserve"> </w:t>
            </w:r>
            <w:r>
              <w:t xml:space="preserve">mkostochkina00@mail.ru</w:t>
            </w:r>
            <w:r/>
          </w:p>
          <w:p>
            <w:pPr>
              <w:pStyle w:val="618"/>
            </w:pPr>
            <w:r>
              <w:t xml:space="preserve">- контактный номер: </w:t>
            </w:r>
            <w:r/>
            <w:r>
              <w:t xml:space="preserve">+79969844090</w:t>
            </w:r>
            <w:r>
              <w:t xml:space="preserve">.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Продажа имуществ</w:t>
            </w:r>
            <w:r>
              <w:t xml:space="preserve">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5.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Место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Торги проводятся в электронной форме на электронной площадке АукционПРО, размещенной на сайте </w:t>
            </w:r>
            <w:r>
              <w:t xml:space="preserve">a</w:t>
            </w:r>
            <w:r>
              <w:t xml:space="preserve">u</w:t>
            </w:r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</w:t>
            </w:r>
            <w:r>
              <w:t xml:space="preserve">r</w:t>
            </w:r>
            <w:r>
              <w:t xml:space="preserve">u</w:t>
            </w:r>
            <w:r>
              <w:t xml:space="preserve"> в сети Интернет.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6.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Размер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7.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окон</w:t>
            </w:r>
            <w:r>
              <w:rPr>
                <w:lang w:val="en-US"/>
              </w:rPr>
              <w:t xml:space="preserve">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</w:p>
          <w:p>
            <w:pPr>
              <w:pStyle w:val="618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</w:p>
          <w:p>
            <w:pPr>
              <w:pStyle w:val="618"/>
            </w:pPr>
            <w:r/>
            <w:r>
              <w:t xml:space="preserve">Получатель: Айсатов Минигали Хусаинович</w:t>
              <w:br/>
              <w:t xml:space="preserve">Номер счёта: 40817810050230557149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544543001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8.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Шаг аукциона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9.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Сообщение о продаже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18"/>
            </w:pP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10.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Заявка на участие в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618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</w:p>
          <w:p>
            <w:pPr>
              <w:pStyle w:val="618"/>
            </w:pPr>
            <w:r>
              <w:t xml:space="preserve">б) фамилия, имя, отчество, паспортные данные, сведения о месте жительства заявителя (для физического лица);</w:t>
            </w:r>
            <w:r/>
          </w:p>
          <w:p>
            <w:pPr>
              <w:pStyle w:val="618"/>
            </w:pPr>
            <w:r>
              <w:t xml:space="preserve">в) номер контактного телефон</w:t>
            </w:r>
            <w:r>
              <w:t xml:space="preserve">а, адрес электронной почты за</w:t>
            </w:r>
            <w:r>
              <w:t xml:space="preserve">я</w:t>
            </w:r>
            <w:r>
              <w:t xml:space="preserve">вителя</w:t>
            </w:r>
            <w:r>
              <w:t xml:space="preserve">; </w:t>
            </w:r>
            <w:r/>
          </w:p>
          <w:p>
            <w:pPr>
              <w:pStyle w:val="618"/>
            </w:pPr>
            <w:r>
              <w:t xml:space="preserve">г) сведения о наличии или об отсутствии заинтересованности заявителя по отношению к должнику, кредиторам,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618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</w:t>
            </w:r>
            <w:r>
              <w:t xml:space="preserve">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18"/>
            </w:pPr>
            <w:r>
              <w:t xml:space="preserve">Дл</w:t>
            </w:r>
            <w:r>
              <w:t xml:space="preserve">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</w:t>
            </w:r>
            <w:r>
              <w:t xml:space="preserve"> о продаже. Заявитель вправе направить задаток на счета, указанные в электронном сообщении о продаже, без представления подписа</w:t>
            </w:r>
            <w:r>
              <w:t xml:space="preserve">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  <w:r/>
          </w:p>
          <w:p>
            <w:pPr>
              <w:pStyle w:val="618"/>
            </w:pPr>
            <w:r>
              <w:t xml:space="preserve"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</w:t>
            </w:r>
            <w:r>
              <w:t xml:space="preserve"> сообщения, подписанного квалифицированной электронной подписью заявителя.</w:t>
            </w:r>
            <w:r/>
          </w:p>
          <w:p>
            <w:pPr>
              <w:pStyle w:val="618"/>
            </w:pPr>
            <w:r>
              <w:t xml:space="preserve">Заявитель вправе изменить заявку на участие в торгах не позднее окончания срока предста</w:t>
            </w:r>
            <w:r>
              <w:t xml:space="preserve">вления заявок на участие в торгах путем представления новой заявки, при этом первоначальная заявка должна быть отозвана.</w:t>
            </w:r>
            <w:r/>
          </w:p>
          <w:p>
            <w:pPr>
              <w:pStyle w:val="618"/>
            </w:pPr>
            <w:r>
              <w:t xml:space="preserve">В течение трид</w:t>
            </w:r>
            <w:r>
              <w:t xml:space="preserve">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</w:t>
            </w:r>
            <w:r>
              <w:t xml:space="preserve">ерждение регистрации заявки с указанием порядкового номера, 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  <w:r/>
          </w:p>
          <w:p>
            <w:pPr>
              <w:pStyle w:val="618"/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Определение участников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</w:t>
            </w:r>
            <w:r>
              <w:t xml:space="preserve"> до окончания срока представления заявок.</w:t>
            </w:r>
            <w:r/>
          </w:p>
          <w:p>
            <w:pPr>
              <w:pStyle w:val="618"/>
            </w:pPr>
            <w: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</w:t>
            </w:r>
            <w:r>
              <w:t xml:space="preserve">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618"/>
            </w:pPr>
            <w:r>
              <w:t xml:space="preserve">В течение пяти календарных дней со дня подписания и направления протокола об определ</w:t>
            </w:r>
            <w:r>
              <w:t xml:space="preserve">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</w:t>
            </w:r>
            <w:r>
              <w:t xml:space="preserve">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618"/>
            </w:pPr>
            <w:r>
              <w:t xml:space="preserve">К участию в торгах до</w:t>
            </w:r>
            <w:r>
              <w:t xml:space="preserve">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618"/>
            </w:pPr>
            <w:r>
              <w:t xml:space="preserve">Решение об отказе в допу</w:t>
            </w:r>
            <w:r>
              <w:t xml:space="preserve">ске заявителя к участию в торгах принимается в случае, если:</w:t>
            </w:r>
            <w:r/>
          </w:p>
          <w:p>
            <w:pPr>
              <w:pStyle w:val="618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618"/>
            </w:pPr>
            <w:r>
              <w:t xml:space="preserve">- представленные заявителем документы не соответствуют установленным к ним требов</w:t>
            </w:r>
            <w:r>
              <w:t xml:space="preserve">аниям или недостоверны;</w:t>
            </w:r>
            <w:r/>
          </w:p>
          <w:p>
            <w:pPr>
              <w:pStyle w:val="618"/>
            </w:pPr>
            <w: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Порядок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торгах могут принимать участие только лица, признанные участниками торгов. Торги проводятс</w:t>
            </w:r>
            <w:r>
              <w:t xml:space="preserve">я на электронной площадке в день и время, указанные в сообщении о продаже.</w:t>
            </w:r>
            <w:r/>
          </w:p>
          <w:p>
            <w:pPr>
              <w:pStyle w:val="618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</w:t>
            </w:r>
            <w:r>
              <w:t xml:space="preserve">с указан</w:t>
            </w:r>
            <w:r>
              <w:t xml:space="preserve">ием точного времени их поступления,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618"/>
            </w:pPr>
            <w:r>
              <w:t xml:space="preserve">Торги проводятся путем повышения начальной цены продажи имущества на величину, равную "шагу аукциона".</w:t>
            </w:r>
            <w:r/>
          </w:p>
          <w:p>
            <w:pPr>
              <w:pStyle w:val="618"/>
            </w:pPr>
            <w:r>
              <w:t xml:space="preserve">Если в течение одного часа с момента начала представления предложений </w:t>
            </w:r>
            <w:r>
              <w:t xml:space="preserve">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</w:t>
            </w:r>
            <w:r>
              <w:t xml:space="preserve">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  <w:r/>
          </w:p>
          <w:p>
            <w:pPr>
              <w:pStyle w:val="618"/>
            </w:pPr>
            <w:r>
              <w:t xml:space="preserve">Если в течение тридцати минут после представления последнего предложения о цене (не учитыв</w:t>
            </w:r>
            <w:r>
              <w:t xml:space="preserve">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618"/>
            </w:pPr>
            <w:r>
              <w:t xml:space="preserve">Во время проведения торгов с помощью программно-аппаратных ср</w:t>
            </w:r>
            <w:r>
              <w:t xml:space="preserve">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618"/>
            </w:pPr>
            <w:r>
              <w:t xml:space="preserve">а) предложение о цене представлено по истечении установленного срока представления предложений о цене;</w:t>
            </w:r>
            <w:r/>
          </w:p>
          <w:p>
            <w:pPr>
              <w:pStyle w:val="618"/>
            </w:pPr>
            <w: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618"/>
            </w:pPr>
            <w:r>
              <w:t xml:space="preserve">в) одним участником представлено второе предложение о цене подряд при отсутствии предложений других уча</w:t>
            </w:r>
            <w:r>
              <w:t xml:space="preserve">стников торгов.</w:t>
            </w:r>
            <w:r/>
          </w:p>
          <w:p>
            <w:pPr>
              <w:pStyle w:val="618"/>
            </w:pPr>
            <w:r>
              <w:t xml:space="preserve">Выигравшим аукцион признается участник, предложивший наиболее высокую 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Подведение результатов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</w:t>
            </w:r>
            <w:r>
              <w:t xml:space="preserve">я проект протокола о результатах проведения торгов.</w:t>
            </w:r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подписью и направляет оп</w:t>
            </w:r>
            <w:r>
              <w:t xml:space="preserve">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  <w:r/>
          </w:p>
          <w:p>
            <w:pPr>
              <w:pStyle w:val="618"/>
            </w:pPr>
            <w:r>
              <w:t xml:space="preserve">Протокол о результатах проведения торгов размещается оператором электронной площадки на электронной площадке.</w:t>
            </w:r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</w:t>
            </w:r>
            <w:r>
              <w:t xml:space="preserve">рес электронной почты, указанный в заявке на участие в торгах.</w:t>
            </w:r>
            <w:r/>
          </w:p>
          <w:p>
            <w:pPr>
              <w:pStyle w:val="618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  <w:r/>
          </w:p>
          <w:p>
            <w:pPr>
              <w:pStyle w:val="618"/>
            </w:pPr>
            <w: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618"/>
            </w:pPr>
            <w:r>
              <w:t xml:space="preserve">окончания сро</w:t>
            </w:r>
            <w:r>
              <w:t xml:space="preserve">ка представления заявок на участие в торгах при отсутствии заявок на участие в торгах;</w:t>
            </w:r>
            <w:r/>
          </w:p>
          <w:p>
            <w:pPr>
              <w:pStyle w:val="618"/>
            </w:pPr>
            <w:r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  <w:r/>
          </w:p>
          <w:p>
            <w:pPr>
              <w:pStyle w:val="618"/>
            </w:pPr>
            <w:r>
              <w:t xml:space="preserve">Организат</w:t>
            </w:r>
            <w: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618"/>
            </w:pPr>
            <w:r>
              <w:t xml:space="preserve">Решение о признании торгов несостоявшимися размещается оператором эле</w:t>
            </w:r>
            <w:r>
              <w:t xml:space="preserve">ктронной площадки на электронной площадке.</w:t>
            </w:r>
            <w:r/>
          </w:p>
          <w:p>
            <w:pPr>
              <w:pStyle w:val="618"/>
            </w:pPr>
            <w:r>
              <w:t xml:space="preserve">Не позднее тридцати минут после размеще</w:t>
            </w:r>
            <w:r>
              <w:t xml:space="preserve">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8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 xml:space="preserve">имущества зак</w:t>
            </w:r>
            <w:r>
              <w:t xml:space="preserve">лючается финансовым</w:t>
            </w:r>
            <w:r>
              <w:t xml:space="preserve"> управляющим с этим участником торгов в соответствии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течение пяти дней с даты </w:t>
            </w:r>
            <w:r>
              <w:t xml:space="preserve">утверждения протокола финансовый</w:t>
            </w:r>
            <w:r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18"/>
            </w:pPr>
            <w:r>
              <w:t xml:space="preserve">Договор купли-продажи имущества должен быть заклю</w:t>
            </w:r>
            <w:r>
              <w:t xml:space="preserve">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618"/>
            </w:pPr>
            <w:r>
              <w:t xml:space="preserve"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 xml:space="preserve">олучения предложения финансового</w:t>
            </w:r>
            <w:r>
              <w:t xml:space="preserve"> управляющего о заключении такого договора внесенный з</w:t>
            </w:r>
            <w:r>
              <w:t xml:space="preserve">адаток ему не возвращается и финансовый</w:t>
            </w:r>
            <w:r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</w:t>
            </w:r>
            <w:r>
              <w:t xml:space="preserve">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Условия возврата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Условия оплаты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  <w:rPr>
                <w:highlight w:val="none"/>
              </w:rPr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  <w:r/>
          </w:p>
          <w:p>
            <w:pPr>
              <w:pStyle w:val="618"/>
            </w:pPr>
            <w:r/>
            <w:r>
              <w:t xml:space="preserve">Получатель: Айсатов Минигали Хусаинович</w:t>
              <w:br/>
              <w:t xml:space="preserve">Номер счёта: 40817810050230557149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544543001</w:t>
            </w:r>
            <w:r/>
            <w:r/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pStyle w:val="618"/>
            </w:pPr>
            <w:r>
              <w:t xml:space="preserve">При</w:t>
            </w:r>
            <w:r>
              <w:t xml:space="preserve">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Обязательными условиями до</w:t>
            </w:r>
            <w:r>
              <w:t xml:space="preserve">говора купли-продажи имущества</w:t>
            </w:r>
            <w:r>
              <w:t xml:space="preserve"> являются:</w:t>
            </w:r>
            <w:r/>
          </w:p>
          <w:p>
            <w:pPr>
              <w:pStyle w:val="618"/>
            </w:pPr>
            <w:r>
              <w:t xml:space="preserve">сведения об имуществе</w:t>
            </w:r>
            <w:r>
              <w:t xml:space="preserve">, его составе, харак</w:t>
            </w:r>
            <w:r>
              <w:t xml:space="preserve">теристиках, описание имущества</w:t>
            </w:r>
            <w:r>
              <w:t xml:space="preserve">;</w:t>
            </w:r>
            <w:r/>
          </w:p>
          <w:p>
            <w:pPr>
              <w:pStyle w:val="618"/>
            </w:pPr>
            <w:r>
              <w:t xml:space="preserve">цена продажи имущества</w:t>
            </w:r>
            <w:r>
              <w:t xml:space="preserve">;</w:t>
            </w:r>
            <w:r/>
          </w:p>
          <w:p>
            <w:pPr>
              <w:pStyle w:val="618"/>
            </w:pPr>
            <w:r>
              <w:t xml:space="preserve">пор</w:t>
            </w:r>
            <w:r>
              <w:t xml:space="preserve">ядок и срок передачи имущества</w:t>
            </w:r>
            <w:r>
              <w:t xml:space="preserve"> покупателю;</w:t>
            </w:r>
            <w:r/>
          </w:p>
          <w:p>
            <w:pPr>
              <w:pStyle w:val="618"/>
            </w:pPr>
            <w:r>
              <w:t xml:space="preserve">сведения о наличии или об отсутствии обр</w:t>
            </w:r>
            <w:r>
              <w:t xml:space="preserve">еменении в отношении имущества</w:t>
            </w:r>
            <w:r>
              <w:t xml:space="preserve">, в том числе публичного сервитута;</w:t>
            </w:r>
            <w:r/>
          </w:p>
          <w:p>
            <w:pPr>
              <w:pStyle w:val="618"/>
            </w:pPr>
            <w:r>
              <w:t xml:space="preserve">иные предусмотренные законода</w:t>
            </w:r>
            <w:r>
              <w:t xml:space="preserve">тельством Российской Федерации условия.</w:t>
            </w:r>
            <w:r/>
          </w:p>
          <w:p>
            <w:pPr>
              <w:pStyle w:val="618"/>
            </w:pPr>
            <w:r>
              <w:t xml:space="preserve">Передача имущества финансовым</w:t>
            </w:r>
            <w:r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r>
              <w:fldChar w:fldCharType="begin"/>
            </w:r>
            <w:r>
              <w:instrText xml:space="preserve"> HYPERLINK "consultantplus://offline/ref=C170E87E5106903B2C2693164E83ABCA2276C913842C8ACC75FF6C560D0667AC2FE2ED39A0D15019R9r5M" </w:instrText>
            </w:r>
            <w:r>
              <w:fldChar w:fldCharType="separate"/>
            </w:r>
            <w:r>
              <w:rPr>
                <w:rStyle w:val="624"/>
                <w:color w:val="000000"/>
                <w:u w:val="none"/>
              </w:rPr>
              <w:t xml:space="preserve">законодательством</w:t>
            </w:r>
            <w:r>
              <w:rPr>
                <w:rStyle w:val="624"/>
                <w:color w:val="000000"/>
                <w:u w:val="none"/>
              </w:rP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Проведение повторных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случае признания торгов несостоявшимися и незаключения договора купли-продажи с единственным участнико</w:t>
            </w:r>
            <w:r>
              <w:t xml:space="preserve">м торгов, а также в случае незаключения договора купли-продажи имущества </w:t>
            </w:r>
            <w:r>
              <w:t xml:space="preserve">по результатам торгов финансовый</w:t>
            </w:r>
            <w:r>
              <w:t xml:space="preserve"> управляющий в течение двух дней после завершения срока, установленного 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18"/>
            </w:pPr>
            <w:r>
              <w:t xml:space="preserve">Повторные торги проводятс</w:t>
            </w:r>
            <w:r>
              <w:t xml:space="preserve">я в соответствии с условиями проведения первоначальных торгов.</w:t>
            </w:r>
            <w:r/>
          </w:p>
          <w:p>
            <w:pPr>
              <w:pStyle w:val="618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8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8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18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18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18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18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18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18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18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18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18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18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18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18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18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8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18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18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18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18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18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18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18"/>
            </w:pPr>
            <w:r/>
          </w:p>
        </w:tc>
      </w:tr>
    </w:tbl>
    <w:p>
      <w:pPr>
        <w:pStyle w:val="618"/>
      </w:pPr>
      <w:r/>
      <w:r/>
    </w:p>
    <w:p>
      <w:pPr>
        <w:pStyle w:val="618"/>
        <w:jc w:val="both"/>
      </w:pPr>
      <w:r/>
      <w:r/>
    </w:p>
    <w:p>
      <w:pPr>
        <w:pStyle w:val="618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Минэкономразвития России от 23.07.2015 N 495 «Об утверждении Порядка проведения торг</w:t>
      </w:r>
      <w:r>
        <w:t xml:space="preserve">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</w:t>
      </w:r>
      <w:r>
        <w:t xml:space="preserve">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</w:t>
      </w:r>
      <w:r>
        <w:t xml:space="preserve">. N 178 и признании утратившими силу некоторых приказов Минэкономразвития России».</w:t>
      </w:r>
      <w:r/>
    </w:p>
    <w:p>
      <w:pPr>
        <w:pStyle w:val="625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18"/>
            </w:pPr>
            <w:r/>
            <w:r/>
          </w:p>
          <w:p>
            <w:pPr>
              <w:pStyle w:val="618"/>
            </w:pPr>
            <w:r>
              <w:t xml:space="preserve">Финансовый управляющий</w:t>
            </w:r>
            <w:r>
              <w:rPr>
                <w:bCs/>
              </w:rPr>
              <w:br w:type="textWrapping" w:clear="all"/>
            </w:r>
            <w:r>
              <w:t xml:space="preserve">Айсатова Минигали Хусаиновича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618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2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18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next w:val="618"/>
    <w:link w:val="618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619">
    <w:name w:val="Основной шрифт абзаца"/>
    <w:next w:val="619"/>
    <w:link w:val="618"/>
    <w:uiPriority w:val="1"/>
    <w:semiHidden/>
    <w:unhideWhenUsed/>
  </w:style>
  <w:style w:type="table" w:styleId="620">
    <w:name w:val="Обычная таблица"/>
    <w:next w:val="620"/>
    <w:link w:val="618"/>
    <w:uiPriority w:val="99"/>
    <w:semiHidden/>
    <w:unhideWhenUsed/>
    <w:tblPr/>
  </w:style>
  <w:style w:type="numbering" w:styleId="621">
    <w:name w:val="Нет списка"/>
    <w:next w:val="621"/>
    <w:link w:val="618"/>
    <w:uiPriority w:val="99"/>
    <w:semiHidden/>
    <w:unhideWhenUsed/>
  </w:style>
  <w:style w:type="paragraph" w:styleId="622">
    <w:name w:val="Обычный1"/>
    <w:next w:val="622"/>
    <w:link w:val="618"/>
    <w:rPr>
      <w:rFonts w:ascii="Times New Roman" w:hAnsi="Times New Roman" w:eastAsia="Times New Roman"/>
      <w:lang w:val="ru-RU" w:eastAsia="ru-RU" w:bidi="ar-SA"/>
    </w:rPr>
  </w:style>
  <w:style w:type="table" w:styleId="623">
    <w:name w:val="Сетка таблицы"/>
    <w:basedOn w:val="620"/>
    <w:next w:val="623"/>
    <w:link w:val="618"/>
    <w:uiPriority w:val="59"/>
    <w:pPr>
      <w:spacing w:after="0" w:line="240" w:lineRule="auto"/>
    </w:pPr>
    <w:tblPr/>
  </w:style>
  <w:style w:type="character" w:styleId="624">
    <w:name w:val="Гиперссылка"/>
    <w:next w:val="624"/>
    <w:link w:val="618"/>
    <w:uiPriority w:val="99"/>
    <w:unhideWhenUsed/>
    <w:rPr>
      <w:color w:val="0000ff"/>
      <w:u w:val="single"/>
    </w:rPr>
  </w:style>
  <w:style w:type="paragraph" w:styleId="625">
    <w:name w:val="ConsPlusNonformat"/>
    <w:next w:val="625"/>
    <w:link w:val="618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626">
    <w:name w:val="Обычный (веб)"/>
    <w:basedOn w:val="618"/>
    <w:next w:val="626"/>
    <w:link w:val="618"/>
    <w:pPr>
      <w:spacing w:before="240" w:after="240"/>
      <w:widowControl/>
    </w:pPr>
    <w:rPr>
      <w:sz w:val="24"/>
      <w:szCs w:val="24"/>
    </w:rPr>
  </w:style>
  <w:style w:type="character" w:styleId="1991" w:default="1">
    <w:name w:val="Default Paragraph Font"/>
    <w:uiPriority w:val="1"/>
    <w:semiHidden/>
    <w:unhideWhenUsed/>
  </w:style>
  <w:style w:type="numbering" w:styleId="1992" w:default="1">
    <w:name w:val="No List"/>
    <w:uiPriority w:val="99"/>
    <w:semiHidden/>
    <w:unhideWhenUsed/>
  </w:style>
  <w:style w:type="table" w:styleId="199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alesh</cp:lastModifiedBy>
  <cp:revision>3</cp:revision>
  <dcterms:created xsi:type="dcterms:W3CDTF">2026-08-20T10:35:00Z</dcterms:created>
  <dcterms:modified xsi:type="dcterms:W3CDTF">2026-08-20T11:22:13Z</dcterms:modified>
  <cp:version>1048576</cp:version>
</cp:coreProperties>
</file>