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095"/>
      </w:tblGrid>
      <w:tr>
        <w:tblPrEx/>
        <w:trPr>
          <w:trHeight w:val="11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95" w:type="dxa"/>
            <w:vAlign w:val="top"/>
            <w:textDirection w:val="lrTb"/>
            <w:noWrap w:val="false"/>
          </w:tcPr>
          <w:p>
            <w:pPr>
              <w:pStyle w:val="618"/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Арбитражный суд Омской области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финансового управляющего </w:t>
            </w:r>
            <w:r>
              <w:rPr>
                <w:sz w:val="24"/>
                <w:szCs w:val="24"/>
              </w:rPr>
              <w:t xml:space="preserve">Баранов Денис Александрович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Косточкиной Марии Васильевны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622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622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порядке, об условиях и о сроках реализации</w:t>
      </w:r>
      <w:r>
        <w:rPr>
          <w:b/>
          <w:sz w:val="24"/>
          <w:szCs w:val="24"/>
        </w:rPr>
        <w:t xml:space="preserve"> имущества </w:t>
      </w:r>
      <w:r>
        <w:rPr>
          <w:b/>
          <w:sz w:val="24"/>
          <w:szCs w:val="24"/>
        </w:rPr>
        <w:t xml:space="preserve">Баранов Денис Александрович</w:t>
      </w:r>
      <w:r>
        <w:rPr>
          <w:b/>
          <w:sz w:val="24"/>
          <w:szCs w:val="24"/>
          <w:lang w:val="en-US"/>
        </w:rPr>
      </w:r>
      <w:r>
        <w:rPr>
          <w:b/>
          <w:sz w:val="24"/>
          <w:szCs w:val="24"/>
          <w:lang w:val="en-US"/>
        </w:rPr>
      </w:r>
    </w:p>
    <w:p>
      <w:pPr>
        <w:pStyle w:val="6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дата рождения: </w:t>
      </w:r>
      <w:r>
        <w:rPr>
          <w:sz w:val="24"/>
          <w:szCs w:val="24"/>
        </w:rPr>
        <w:t xml:space="preserve">03.12.1983</w:t>
      </w:r>
      <w:r>
        <w:rPr>
          <w:sz w:val="24"/>
          <w:szCs w:val="24"/>
        </w:rPr>
        <w:t xml:space="preserve">, место рождения: </w:t>
      </w:r>
      <w:r>
        <w:rPr>
          <w:sz w:val="24"/>
          <w:szCs w:val="24"/>
        </w:rPr>
        <w:t xml:space="preserve">р.п. Марьяновка Марьяновского р-на Омской обл.</w:t>
      </w:r>
      <w:r>
        <w:rPr>
          <w:sz w:val="24"/>
          <w:szCs w:val="24"/>
        </w:rPr>
        <w:t xml:space="preserve">, СНИЛС: </w:t>
      </w:r>
      <w:r>
        <w:rPr>
          <w:sz w:val="24"/>
          <w:szCs w:val="24"/>
        </w:rPr>
        <w:t xml:space="preserve">081-028-679 53</w:t>
      </w:r>
      <w:r>
        <w:rPr>
          <w:sz w:val="24"/>
          <w:szCs w:val="24"/>
        </w:rPr>
        <w:t xml:space="preserve">, ИНН </w:t>
      </w:r>
      <w:r>
        <w:rPr>
          <w:sz w:val="24"/>
          <w:szCs w:val="24"/>
        </w:rPr>
        <w:t xml:space="preserve">552807200247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регистрация по месту жительства: 644504, Омская область, село Лузино, ул Цветочная, д 3, кв 1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6"/>
        <w:gridCol w:w="2046"/>
        <w:gridCol w:w="70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Сведения об имуществе и порядке ознакомления с ним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tbl>
            <w:tblPr>
              <w:tblW w:w="6833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№ лота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Описание,</w:t>
                  </w:r>
                  <w:r>
                    <w:t xml:space="preserve"> характеристика имущества</w:t>
                  </w:r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  <w:rPr>
                      <w:sz w:val="20"/>
                      <w:szCs w:val="20"/>
                      <w:highlight w:val="none"/>
                    </w:rPr>
                  </w:pPr>
                  <w:r>
                    <w:rPr>
                      <w:sz w:val="20"/>
                      <w:szCs w:val="20"/>
                    </w:rPr>
                    <w:t xml:space="preserve">Модель,калибр:ВЕПРЬ-223,кал.223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R</w:t>
                  </w:r>
                  <w:r>
                    <w:rPr>
                      <w:sz w:val="20"/>
                      <w:szCs w:val="20"/>
                    </w:rPr>
                    <w:t xml:space="preserve">E</w:t>
                  </w:r>
                  <w:r>
                    <w:rPr>
                      <w:sz w:val="20"/>
                      <w:szCs w:val="20"/>
                    </w:rPr>
                    <w:t xml:space="preserve">M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(</w:t>
                  </w:r>
                  <w:r>
                    <w:rPr>
                      <w:sz w:val="20"/>
                      <w:szCs w:val="20"/>
                    </w:rPr>
                    <w:t xml:space="preserve">5</w:t>
                  </w:r>
                  <w:r>
                    <w:rPr>
                      <w:sz w:val="20"/>
                      <w:szCs w:val="20"/>
                    </w:rPr>
                    <w:t xml:space="preserve">,</w:t>
                  </w:r>
                  <w:r>
                    <w:rPr>
                      <w:sz w:val="20"/>
                      <w:szCs w:val="20"/>
                    </w:rPr>
                    <w:t xml:space="preserve">5</w:t>
                  </w:r>
                  <w:r>
                    <w:rPr>
                      <w:sz w:val="20"/>
                      <w:szCs w:val="20"/>
                    </w:rPr>
                    <w:t xml:space="preserve">6</w:t>
                  </w:r>
                  <w:r>
                    <w:rPr>
                      <w:sz w:val="20"/>
                      <w:szCs w:val="20"/>
                    </w:rPr>
                    <w:t xml:space="preserve">X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5</w:t>
                  </w:r>
                  <w:r>
                    <w:rPr>
                      <w:sz w:val="20"/>
                      <w:szCs w:val="20"/>
                    </w:rPr>
                    <w:t xml:space="preserve">)</w:t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highlight w:val="none"/>
                      <w:lang w:val="ru-RU"/>
                    </w:rPr>
                    <w:t xml:space="preserve">Серия,номер,год выпуска:(</w:t>
                  </w:r>
                  <w:r>
                    <w:rPr>
                      <w:sz w:val="20"/>
                      <w:szCs w:val="20"/>
                      <w:highlight w:val="none"/>
                      <w:lang w:val="ru-RU"/>
                    </w:rPr>
                    <w:t xml:space="preserve">N</w:t>
                  </w:r>
                  <w:r>
                    <w:rPr>
                      <w:sz w:val="20"/>
                      <w:szCs w:val="20"/>
                      <w:highlight w:val="none"/>
                      <w:lang w:val="ru-RU"/>
                    </w:rPr>
                    <w:t xml:space="preserve">o</w:t>
                  </w:r>
                  <w:r>
                    <w:rPr>
                      <w:sz w:val="20"/>
                      <w:szCs w:val="20"/>
                      <w:highlight w:val="none"/>
                      <w:lang w:val="ru-RU"/>
                    </w:rPr>
                    <w:t xml:space="preserve"> МН 2858,2008 г.в.)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8"/>
                    <w:jc w:val="center"/>
                  </w:pPr>
                  <w:r/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t xml:space="preserve">33 384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8"/>
                    <w:jc w:val="center"/>
                  </w:pPr>
                  <w:r/>
                  <w:r/>
                </w:p>
              </w:tc>
            </w:tr>
            <w:tr>
              <w:tblPrEx/>
              <w:trPr/>
              <w:tc>
                <w:tcPr>
                  <w:tcW w:w="603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2</w:t>
                  </w:r>
                  <w:r/>
                </w:p>
              </w:tc>
              <w:tc>
                <w:tcPr>
                  <w:tcW w:w="3474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8"/>
                    <w:jc w:val="center"/>
                    <w:rPr>
                      <w:sz w:val="20"/>
                      <w:szCs w:val="20"/>
                      <w:highlight w:val="none"/>
                    </w:rPr>
                  </w:pPr>
                  <w:r>
                    <w:rPr>
                      <w:sz w:val="20"/>
                      <w:szCs w:val="20"/>
                    </w:rPr>
                    <w:t xml:space="preserve">Модель,калибр:ТОЗ-34Р,кал. 12</w:t>
                  </w:r>
                  <w:r>
                    <w:rPr>
                      <w:sz w:val="20"/>
                      <w:szCs w:val="20"/>
                    </w:rPr>
                    <w:t xml:space="preserve">X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highlight w:val="none"/>
                      <w:lang w:val="ru-RU"/>
                    </w:rPr>
                    <w:t xml:space="preserve">Серия,номер,год выпуска:</w:t>
                  </w:r>
                  <w:r>
                    <w:rPr>
                      <w:sz w:val="20"/>
                      <w:szCs w:val="20"/>
                      <w:highlight w:val="none"/>
                      <w:lang w:val="ru-RU"/>
                    </w:rPr>
                    <w:t xml:space="preserve"> УАА,</w:t>
                  </w:r>
                  <w:r>
                    <w:rPr>
                      <w:sz w:val="20"/>
                      <w:szCs w:val="20"/>
                      <w:highlight w:val="none"/>
                      <w:lang w:val="ru-RU"/>
                    </w:rPr>
                    <w:t xml:space="preserve">N</w:t>
                  </w:r>
                  <w:r>
                    <w:rPr>
                      <w:sz w:val="20"/>
                      <w:szCs w:val="20"/>
                      <w:highlight w:val="none"/>
                      <w:lang w:val="ru-RU"/>
                    </w:rPr>
                    <w:t xml:space="preserve">o</w:t>
                  </w:r>
                  <w:r>
                    <w:rPr>
                      <w:sz w:val="20"/>
                      <w:szCs w:val="20"/>
                      <w:highlight w:val="none"/>
                      <w:lang w:val="ru-RU"/>
                    </w:rPr>
                    <w:t xml:space="preserve"> </w:t>
                  </w:r>
                  <w:r>
                    <w:rPr>
                      <w:sz w:val="20"/>
                      <w:szCs w:val="20"/>
                      <w:highlight w:val="none"/>
                      <w:lang w:val="ru-RU"/>
                    </w:rPr>
                    <w:t xml:space="preserve">1</w:t>
                  </w:r>
                  <w:r>
                    <w:rPr>
                      <w:sz w:val="20"/>
                      <w:szCs w:val="20"/>
                      <w:highlight w:val="none"/>
                      <w:lang w:val="ru-RU"/>
                    </w:rPr>
                    <w:t xml:space="preserve">4</w:t>
                  </w:r>
                  <w:r>
                    <w:rPr>
                      <w:sz w:val="20"/>
                      <w:szCs w:val="20"/>
                      <w:highlight w:val="none"/>
                      <w:lang w:val="ru-RU"/>
                    </w:rPr>
                    <w:t xml:space="preserve">1</w:t>
                  </w:r>
                  <w:r>
                    <w:rPr>
                      <w:sz w:val="20"/>
                      <w:szCs w:val="20"/>
                      <w:highlight w:val="none"/>
                      <w:lang w:val="ru-RU"/>
                    </w:rPr>
                    <w:t xml:space="preserve">2</w:t>
                  </w:r>
                  <w:r>
                    <w:rPr>
                      <w:sz w:val="20"/>
                      <w:szCs w:val="20"/>
                      <w:highlight w:val="none"/>
                      <w:lang w:val="ru-RU"/>
                    </w:rPr>
                    <w:t xml:space="preserve">2</w:t>
                  </w:r>
                  <w:r>
                    <w:rPr>
                      <w:sz w:val="20"/>
                      <w:szCs w:val="20"/>
                      <w:highlight w:val="none"/>
                      <w:lang w:val="ru-RU"/>
                    </w:rPr>
                    <w:t xml:space="preserve">,</w:t>
                  </w:r>
                  <w:r>
                    <w:rPr>
                      <w:sz w:val="20"/>
                      <w:szCs w:val="20"/>
                      <w:highlight w:val="none"/>
                      <w:lang w:val="ru-RU"/>
                    </w:rPr>
                    <w:t xml:space="preserve">1</w:t>
                  </w:r>
                  <w:r>
                    <w:rPr>
                      <w:sz w:val="20"/>
                      <w:szCs w:val="20"/>
                      <w:highlight w:val="none"/>
                      <w:lang w:val="ru-RU"/>
                    </w:rPr>
                    <w:t xml:space="preserve">9</w:t>
                  </w:r>
                  <w:r>
                    <w:rPr>
                      <w:sz w:val="20"/>
                      <w:szCs w:val="20"/>
                      <w:highlight w:val="none"/>
                      <w:lang w:val="ru-RU"/>
                    </w:rPr>
                    <w:t xml:space="preserve">8</w:t>
                  </w:r>
                  <w:r>
                    <w:rPr>
                      <w:sz w:val="20"/>
                      <w:szCs w:val="20"/>
                      <w:highlight w:val="none"/>
                      <w:lang w:val="ru-RU"/>
                    </w:rPr>
                    <w:t xml:space="preserve">1</w:t>
                  </w:r>
                  <w:r>
                    <w:rPr>
                      <w:sz w:val="20"/>
                      <w:szCs w:val="20"/>
                      <w:highlight w:val="none"/>
                      <w:lang w:val="ru-RU"/>
                    </w:rPr>
                    <w:t xml:space="preserve"> г.в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217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/>
                  <w:r>
                    <w:t xml:space="preserve">13 100</w:t>
                  </w:r>
                  <w:r/>
                  <w:r/>
                  <w:r/>
                </w:p>
              </w:tc>
            </w:tr>
          </w:tbl>
          <w:p>
            <w:pPr>
              <w:pStyle w:val="618"/>
            </w:pPr>
            <w:r>
              <w:t xml:space="preserve">Ознакомление с имуществом производится по адресу:</w:t>
            </w:r>
            <w:r>
              <w:rPr>
                <w:sz w:val="24"/>
                <w:szCs w:val="24"/>
              </w:rPr>
              <w:t xml:space="preserve">644504, Омская область, село Лузино, ул Цветочная, д 3, кв 1</w:t>
            </w:r>
            <w:r/>
            <w:r>
              <w:t xml:space="preserve">, с момента публикации сообщения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/>
            <w:r>
              <w:rPr>
                <w:sz w:val="16"/>
                <w:szCs w:val="16"/>
              </w:rPr>
              <w:t xml:space="preserve">+79969844090</w:t>
            </w:r>
            <w:r/>
            <w:r/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Сроки 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  <w:r/>
          </w:p>
          <w:p>
            <w:pPr>
              <w:pStyle w:val="618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Организатор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Финансовый управляющий </w:t>
            </w:r>
            <w:r>
              <w:t xml:space="preserve">Баранов Денис Александрович</w:t>
            </w:r>
            <w:r>
              <w:t xml:space="preserve"> </w:t>
            </w:r>
            <w:r>
              <w:t xml:space="preserve">Косточкина Мария Васильевна</w:t>
            </w:r>
            <w:r>
              <w:t xml:space="preserve">, </w:t>
            </w:r>
            <w:r>
              <w:t xml:space="preserve">действующий на основании решения Арбитражного суда Омской об</w:t>
            </w:r>
            <w:r>
              <w:t xml:space="preserve">ласти от 08.12.2025 г. по делу № А46-11385/2025</w:t>
            </w:r>
            <w:r/>
          </w:p>
          <w:p>
            <w:pPr>
              <w:pStyle w:val="618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618"/>
            </w:pPr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</w:p>
          <w:p>
            <w:pPr>
              <w:pStyle w:val="618"/>
            </w:pPr>
            <w:r>
              <w:t xml:space="preserve">- определяет участников то</w:t>
            </w:r>
            <w:r>
              <w:t xml:space="preserve">ргов;</w:t>
            </w:r>
            <w:r/>
          </w:p>
          <w:p>
            <w:pPr>
              <w:pStyle w:val="618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pStyle w:val="618"/>
              <w:rPr>
                <w:lang w:val="en-US"/>
              </w:rPr>
            </w:pPr>
            <w:r>
              <w:t xml:space="preserve">- уведомляет заявителей и участников торгов о результатах проведения торгов.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618"/>
            </w:pPr>
            <w:r>
              <w:t xml:space="preserve">Сведения об организаторе торгов:</w:t>
            </w:r>
            <w:r/>
          </w:p>
          <w:p>
            <w:pPr>
              <w:pStyle w:val="618"/>
            </w:pPr>
            <w:r>
              <w:t xml:space="preserve">- почтовый адрес:</w:t>
            </w:r>
            <w:r>
              <w:t xml:space="preserve"> </w:t>
            </w:r>
            <w:r>
              <w:t xml:space="preserve">163046, Архангельская область, Архангельск, Воскресенская, 59, 2 этаж</w:t>
            </w:r>
            <w:r/>
          </w:p>
          <w:p>
            <w:pPr>
              <w:pStyle w:val="618"/>
            </w:pPr>
            <w:r>
              <w:t xml:space="preserve">- адрес электронной почты:</w:t>
            </w:r>
            <w:r>
              <w:t xml:space="preserve"> </w:t>
            </w:r>
            <w:r>
              <w:t xml:space="preserve">mkostochkina00@mail.ru</w:t>
            </w:r>
            <w:r/>
          </w:p>
          <w:p>
            <w:pPr>
              <w:pStyle w:val="618"/>
            </w:pPr>
            <w:r>
              <w:t xml:space="preserve">- контактный номер: </w:t>
            </w:r>
            <w:r/>
            <w:r>
              <w:rPr>
                <w:sz w:val="16"/>
                <w:szCs w:val="16"/>
              </w:rPr>
              <w:t xml:space="preserve">+79969844090</w:t>
            </w:r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Продажа имущества должника осуществляется путем проведения открытых тор</w:t>
            </w:r>
            <w:r>
              <w:t xml:space="preserve">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5.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Место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Торги проводятся в электронной форме на электронной площадке АукционПРО, размещенной на сайте </w:t>
            </w:r>
            <w:r>
              <w:t xml:space="preserve">a</w:t>
            </w:r>
            <w:r>
              <w:t xml:space="preserve">u</w:t>
            </w:r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</w:t>
            </w:r>
            <w:r>
              <w:t xml:space="preserve">r</w:t>
            </w:r>
            <w:r>
              <w:t xml:space="preserve">u</w:t>
            </w:r>
            <w:r>
              <w:t xml:space="preserve"> в сети Интернет.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6.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Размер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Лот № 1: </w:t>
            </w:r>
            <w:r>
              <w:t xml:space="preserve">10 %</w:t>
            </w:r>
            <w:r/>
            <w:r/>
          </w:p>
          <w:p>
            <w:pPr>
              <w:pStyle w:val="618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7.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 и порядок внесения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  <w:rPr>
                <w:lang w:val="en-US"/>
              </w:rPr>
            </w:pPr>
            <w:r>
              <w:t xml:space="preserve">1. Срок внесения задатка - </w:t>
            </w:r>
            <w:r>
              <w:rPr>
                <w:lang w:val="en-US"/>
              </w:rPr>
              <w:t xml:space="preserve">не позднее даты окончания срока приема заявок</w:t>
            </w:r>
            <w:r>
              <w:t xml:space="preserve"> </w:t>
            </w:r>
            <w:r>
              <w:t xml:space="preserve">на участие в торгах</w:t>
            </w:r>
            <w:r>
              <w:rPr>
                <w:lang w:val="en-US"/>
              </w:rPr>
              <w:t xml:space="preserve">. </w:t>
            </w:r>
            <w:r>
              <w:rPr>
                <w:lang w:val="en-US"/>
              </w:rPr>
            </w:r>
          </w:p>
          <w:p>
            <w:pPr>
              <w:pStyle w:val="618"/>
            </w:pPr>
            <w:r>
              <w:t xml:space="preserve">2. Внес</w:t>
            </w:r>
            <w:r>
              <w:t xml:space="preserve">ение задатка </w:t>
            </w:r>
            <w:r>
              <w:t xml:space="preserve">осуществляется </w:t>
            </w:r>
            <w:r>
              <w:t xml:space="preserve">по следующим реквизитам: </w:t>
            </w:r>
            <w:r/>
          </w:p>
          <w:p>
            <w:pPr>
              <w:pStyle w:val="618"/>
            </w:pPr>
            <w:r/>
            <w:r>
              <w:t xml:space="preserve">Получатель: Баранов Денис Александрович</w:t>
              <w:br/>
              <w:t xml:space="preserve">Номер счёта: 40817810450230248906 (Задатковый)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544543001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8.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Шаг аукциона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Лот № 1: </w:t>
            </w:r>
            <w:r>
              <w:t xml:space="preserve">10 %</w:t>
            </w:r>
            <w:r/>
            <w:r/>
          </w:p>
          <w:p>
            <w:pPr>
              <w:pStyle w:val="618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9.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Сообщение о продаже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Сообщение о прод</w:t>
            </w:r>
            <w:r>
              <w:t xml:space="preserve">аже имущества публикуется в газете «Коммерсантъ», </w:t>
            </w:r>
            <w:r>
              <w:t xml:space="preserve">а также </w:t>
            </w:r>
            <w:r>
              <w:t xml:space="preserve">размещается на Едином федеральном</w:t>
            </w:r>
            <w:r>
              <w:t xml:space="preserve"> реестре сведений о банкротстве</w:t>
            </w:r>
            <w:r>
              <w:t xml:space="preserve"> </w:t>
            </w:r>
            <w:r>
              <w:t xml:space="preserve">не позднее, чем за </w:t>
            </w:r>
            <w:r>
              <w:t xml:space="preserve">__ дней до даты проведения торгов </w:t>
            </w:r>
            <w:r>
              <w:rPr>
                <w:i/>
              </w:rPr>
              <w:t xml:space="preserve">(не позднее чем за 30 дней).</w:t>
            </w:r>
            <w:r/>
          </w:p>
          <w:p>
            <w:pPr>
              <w:pStyle w:val="618"/>
            </w:pPr>
            <w:r>
              <w:t xml:space="preserve">Текст сообщения должен содержать следующие </w:t>
            </w:r>
            <w:r>
              <w:t xml:space="preserve">сведения:</w:t>
            </w:r>
            <w:r/>
          </w:p>
          <w:p>
            <w:pPr>
              <w:pStyle w:val="618"/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/>
          </w:p>
          <w:p>
            <w:pPr>
              <w:pStyle w:val="618"/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/>
          </w:p>
          <w:p>
            <w:pPr>
              <w:pStyle w:val="618"/>
            </w:pPr>
            <w:r>
              <w:t xml:space="preserve">порядок, место, срок и время представления заявок на участие в торгах и предложений о цен</w:t>
            </w:r>
            <w:r>
              <w:t xml:space="preserve">е имущества (даты и время начала и окончания</w:t>
            </w:r>
            <w:r>
              <w:t xml:space="preserve"> </w:t>
            </w:r>
            <w:r>
              <w:t xml:space="preserve">представления указанных заявок, дата и время начала представления указанных</w:t>
            </w:r>
            <w:r>
              <w:t xml:space="preserve"> предложений); </w:t>
            </w:r>
            <w:r/>
          </w:p>
          <w:p>
            <w:pPr>
              <w:pStyle w:val="618"/>
            </w:pPr>
            <w:r>
              <w:t xml:space="preserve">порядок оформления участия в торгах, перечень представляемых участниками торгов до</w:t>
            </w:r>
            <w:r>
              <w:t xml:space="preserve">кументов и требования к их оформлению;</w:t>
            </w:r>
            <w:r/>
          </w:p>
          <w:p>
            <w:pPr>
              <w:pStyle w:val="618"/>
            </w:pPr>
            <w:r>
              <w:t xml:space="preserve">размер задатка, сроки и порядок внесения задатка, реквизиты счетов, на которые вносится задаток;</w:t>
            </w:r>
            <w:r/>
          </w:p>
          <w:p>
            <w:pPr>
              <w:pStyle w:val="618"/>
            </w:pPr>
            <w:r>
              <w:t xml:space="preserve">начальная цена продажи имущества;</w:t>
            </w:r>
            <w:r/>
          </w:p>
          <w:p>
            <w:pPr>
              <w:pStyle w:val="618"/>
            </w:pPr>
            <w:r>
              <w:t xml:space="preserve">величина повышения начальной цены продажи имущества ("шаг аукциона");</w:t>
            </w:r>
            <w:r/>
          </w:p>
          <w:p>
            <w:pPr>
              <w:pStyle w:val="618"/>
            </w:pPr>
            <w:r>
              <w:t xml:space="preserve">порядок и критерии выявления поб</w:t>
            </w:r>
            <w:r>
              <w:t xml:space="preserve">едителя торгов;</w:t>
            </w:r>
            <w:r/>
          </w:p>
          <w:p>
            <w:pPr>
              <w:pStyle w:val="618"/>
            </w:pPr>
            <w:r>
              <w:t xml:space="preserve">дата, время и место подведения результатов торгов;</w:t>
            </w:r>
            <w:r/>
          </w:p>
          <w:p>
            <w:pPr>
              <w:pStyle w:val="618"/>
            </w:pPr>
            <w:r>
              <w:t xml:space="preserve">порядок и срок заключения договора купли-продажи имущества;</w:t>
            </w:r>
            <w:r/>
          </w:p>
          <w:p>
            <w:pPr>
              <w:pStyle w:val="618"/>
            </w:pPr>
            <w:r>
              <w:t xml:space="preserve">сроки платежей, реквизиты счетов, на которые вносятся платежи;</w:t>
            </w:r>
            <w:r/>
          </w:p>
          <w:p>
            <w:pPr>
              <w:pStyle w:val="618"/>
            </w:pPr>
            <w:r>
              <w:t xml:space="preserve">сведения об организаторе торгов, его почтовый адре</w:t>
            </w:r>
            <w:r>
              <w:t xml:space="preserve">с, адрес электронной почты, номер контактного телефона.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10.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Заявка на участие в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</w:p>
          <w:p>
            <w:pPr>
              <w:pStyle w:val="618"/>
            </w:pPr>
            <w:r>
              <w:t xml:space="preserve">а) наименование, организационно-правовая форма, место нахождения, почтовый адрес заявителя (для юридич</w:t>
            </w:r>
            <w:r>
              <w:t xml:space="preserve">еского лица);</w:t>
            </w:r>
            <w:r/>
          </w:p>
          <w:p>
            <w:pPr>
              <w:pStyle w:val="618"/>
            </w:pPr>
            <w:r>
              <w:t xml:space="preserve">б) фамилия, имя, отчество, паспортные данные, сведения о месте жительства заявителя (для физического лица);</w:t>
            </w:r>
            <w:r/>
          </w:p>
          <w:p>
            <w:pPr>
              <w:pStyle w:val="618"/>
            </w:pPr>
            <w:r>
              <w:t xml:space="preserve">в) номер контактного телефона, адрес электронной почты за</w:t>
            </w:r>
            <w:r>
              <w:t xml:space="preserve">я</w:t>
            </w:r>
            <w:r>
              <w:t xml:space="preserve">вителя</w:t>
            </w:r>
            <w:r>
              <w:t xml:space="preserve">; </w:t>
            </w:r>
            <w:r/>
          </w:p>
          <w:p>
            <w:pPr>
              <w:pStyle w:val="618"/>
            </w:pPr>
            <w:r>
              <w:t xml:space="preserve">г) сведения о на</w:t>
            </w:r>
            <w:r>
              <w:t xml:space="preserve">личии или об отсутствии заинтересованности заявителя по отношению к должнику, кредиторам, арбит</w:t>
            </w:r>
            <w:r>
              <w:t xml:space="preserve">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</w:p>
          <w:p>
            <w:pPr>
              <w:pStyle w:val="618"/>
            </w:pPr>
            <w: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</w:t>
            </w:r>
            <w:r>
              <w:t xml:space="preserve">общения, подписанного квалифицированной электронной подписью заявителя.</w:t>
            </w:r>
            <w:r/>
          </w:p>
          <w:p>
            <w:pPr>
              <w:pStyle w:val="618"/>
            </w:pPr>
            <w:r>
              <w:t xml:space="preserve">Для участия в открытых торгах заявитель представляет оператору электронной площадки в форме электронного сообщен</w:t>
            </w:r>
            <w:r>
              <w:t xml:space="preserve">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</w:t>
            </w:r>
            <w:r>
              <w:t xml:space="preserve">ставления подписанного договора о задатке. В этом случае перечисление за</w:t>
            </w:r>
            <w:r>
              <w:t xml:space="preserve">датка заявителем в соответствии с электронным сообщением о продаже признается акцептом договора о задатке.</w:t>
            </w:r>
            <w:r/>
          </w:p>
          <w:p>
            <w:pPr>
              <w:pStyle w:val="618"/>
            </w:pPr>
            <w:r>
              <w:t xml:space="preserve">Заявит</w:t>
            </w:r>
            <w:r>
              <w:t xml:space="preserve">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618"/>
            </w:pPr>
            <w: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</w:t>
            </w:r>
            <w:r>
              <w:t xml:space="preserve">овой заявки, при этом первоначальная заявка должна быть отозвана.</w:t>
            </w:r>
            <w:r/>
          </w:p>
          <w:p>
            <w:pPr>
              <w:pStyle w:val="618"/>
            </w:pPr>
            <w:r>
              <w:t xml:space="preserve">В течение тридцати минут с момента представления заявки на участие в торгах такая заявка с помощью программно-аппа</w:t>
            </w:r>
            <w:r>
              <w:t xml:space="preserve">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 представле</w:t>
            </w:r>
            <w:r>
              <w:t xml:space="preserve">ния заявок на участие в</w:t>
            </w:r>
            <w:r>
              <w:t xml:space="preserve">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  <w:r/>
          </w:p>
          <w:p>
            <w:pPr>
              <w:pStyle w:val="618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Определение участников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Не позднее тридцати минут после окончания срока представления заявок на участие в торгах посредством</w:t>
            </w:r>
            <w:r>
              <w:t xml:space="preserve">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  <w:r/>
          </w:p>
          <w:p>
            <w:pPr>
              <w:pStyle w:val="618"/>
            </w:pPr>
            <w:r>
              <w:t xml:space="preserve">Организатор т</w:t>
            </w:r>
            <w:r>
              <w:t xml:space="preserve">оргов посредством программно-аппаратных средств сайта формирует протокол об определении участников торгов не позднее</w:t>
            </w:r>
            <w:r>
              <w:t xml:space="preserve">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  <w:r/>
          </w:p>
          <w:p>
            <w:pPr>
              <w:pStyle w:val="618"/>
            </w:pPr>
            <w:r>
              <w:t xml:space="preserve">В течение пяти календарных дней со дня подписания и направления протокола об определении участников торгов оператору электронной площадки о</w:t>
            </w:r>
            <w:r>
              <w:t xml:space="preserve">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</w:t>
            </w:r>
            <w:r>
              <w:t xml:space="preserve">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</w:p>
          <w:p>
            <w:pPr>
              <w:pStyle w:val="618"/>
            </w:pPr>
            <w:r>
              <w:t xml:space="preserve">К участию в торгах допускаются заявители, представившие заявки на участие в </w:t>
            </w:r>
            <w:r>
              <w:t xml:space="preserve">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  <w:r/>
          </w:p>
          <w:p>
            <w:pPr>
              <w:pStyle w:val="618"/>
            </w:pPr>
            <w:r>
              <w:t xml:space="preserve">Решение об отказе в допуске заявителя к участию в торгах принимается в случае, если:</w:t>
            </w:r>
            <w:r/>
          </w:p>
          <w:p>
            <w:pPr>
              <w:pStyle w:val="618"/>
            </w:pPr>
            <w: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</w:p>
          <w:p>
            <w:pPr>
              <w:pStyle w:val="618"/>
            </w:pPr>
            <w:r>
              <w:t xml:space="preserve">- представленные заявителем документы не соответствуют установленным к ним требованиям или недостоверны;</w:t>
            </w:r>
            <w:r/>
          </w:p>
          <w:p>
            <w:pPr>
              <w:pStyle w:val="618"/>
            </w:pPr>
            <w:r>
              <w:t xml:space="preserve">- поступление задатка на счета,</w:t>
            </w:r>
            <w:r>
              <w:t xml:space="preserve"> указанные в сообщении о проведении торгов, не подтверждено на дату составления протокола об определении участников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Порядок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  <w:r/>
          </w:p>
          <w:p>
            <w:pPr>
              <w:pStyle w:val="618"/>
            </w:pPr>
            <w: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>
              <w:t xml:space="preserve"> </w:t>
            </w:r>
            <w:r>
              <w:t xml:space="preserve">с указанием точного времени их поступления, а также времени, ос</w:t>
            </w:r>
            <w:r>
              <w:t xml:space="preserve">тавшегося до истечения срока представления таких предложений. </w:t>
            </w:r>
            <w:r/>
          </w:p>
          <w:p>
            <w:pPr>
              <w:pStyle w:val="618"/>
            </w:pPr>
            <w:r>
              <w:t xml:space="preserve">Торги проводятся путем повышения начальной цены продажи имущества на величину, равную "шагу аукциона".</w:t>
            </w:r>
            <w:r/>
          </w:p>
          <w:p>
            <w:pPr>
              <w:pStyle w:val="618"/>
            </w:pPr>
            <w:r>
      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</w:t>
            </w:r>
            <w:r>
              <w:t xml:space="preserve">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</w:t>
            </w:r>
            <w:r>
              <w:t xml:space="preserve">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  <w:r/>
          </w:p>
          <w:p>
            <w:pPr>
              <w:pStyle w:val="618"/>
            </w:pPr>
            <w:r>
              <w:t xml:space="preserve"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</w:t>
            </w:r>
            <w:r>
              <w:t xml:space="preserve">редств сайта завершаются автоматически.</w:t>
            </w:r>
            <w:r/>
          </w:p>
          <w:p>
            <w:pPr>
              <w:pStyle w:val="618"/>
            </w:pPr>
            <w:r>
              <w:t xml:space="preserve">Во время проведения торгов с помощью программно-аппаратных средств сайта предложение о цене в момент его поступления</w:t>
            </w:r>
            <w:r>
              <w:t xml:space="preserve"> отклоняется с направлением лицу уведомления об отказе в приеме его предложения с указанием причин отказа в случае, если:</w:t>
            </w:r>
            <w:r/>
          </w:p>
          <w:p>
            <w:pPr>
              <w:pStyle w:val="618"/>
            </w:pPr>
            <w:r>
              <w:t xml:space="preserve">а) предложение о цене представлено по истечении установленного срока представления предложений о цене;</w:t>
            </w:r>
            <w:r/>
          </w:p>
          <w:p>
            <w:pPr>
              <w:pStyle w:val="618"/>
            </w:pPr>
            <w:r>
              <w:t xml:space="preserve">б) предложение о цене увеличено в размере, не равном "шагу аук</w:t>
            </w:r>
            <w:r>
              <w:t xml:space="preserve">циона", меньше или равно ранее представленному предложению о цене;</w:t>
            </w:r>
            <w:r/>
          </w:p>
          <w:p>
            <w:pPr>
              <w:pStyle w:val="618"/>
            </w:pPr>
            <w:r>
              <w:t xml:space="preserve">в) одним участником представлено второе предложение о цене подряд при отсутствии предложений других участников торгов.</w:t>
            </w:r>
            <w:r/>
          </w:p>
          <w:p>
            <w:pPr>
              <w:pStyle w:val="618"/>
            </w:pPr>
            <w:r>
              <w:t xml:space="preserve">Выигравшим аукцион признается участник,</w:t>
            </w:r>
            <w:r>
              <w:t xml:space="preserve"> предложивший наиболее высокую цену за продаваемое имущество.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Подведение результатов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Не </w:t>
            </w:r>
            <w:r>
              <w:t xml:space="preserve">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  <w:r/>
          </w:p>
          <w:p>
            <w:pPr>
              <w:pStyle w:val="618"/>
            </w:pPr>
            <w:r>
              <w:t xml:space="preserve"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</w:t>
            </w:r>
            <w:r>
              <w:t xml:space="preserve">ультатах проведения торгов не позднее одного часа после получения от оператора электронной площадки протокола.</w:t>
            </w:r>
            <w:r/>
          </w:p>
          <w:p>
            <w:pPr>
              <w:pStyle w:val="618"/>
            </w:pPr>
            <w:r>
              <w:t xml:space="preserve">Протокол о результатах проведения торгов размещается оператором электронной площадки на электронной площадке.</w:t>
            </w:r>
            <w:r/>
          </w:p>
          <w:p>
            <w:pPr>
              <w:pStyle w:val="618"/>
            </w:pPr>
            <w:r>
              <w:t xml:space="preserve">Не позднее тридцати минут после размещения на электронной площадке про</w:t>
            </w:r>
            <w:r>
              <w:t xml:space="preserve">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</w:t>
            </w:r>
            <w:r>
              <w:t xml:space="preserve">торгах.</w:t>
            </w:r>
            <w:r/>
          </w:p>
          <w:p>
            <w:pPr>
              <w:pStyle w:val="618"/>
            </w:pPr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  <w:r/>
          </w:p>
          <w:p>
            <w:pPr>
              <w:pStyle w:val="618"/>
            </w:pPr>
            <w:r>
              <w:t xml:space="preserve">Оператором электронной площадки с помощью программно-аппаратных средств сайта формируется и направляется орган</w:t>
            </w:r>
            <w:r>
              <w:t xml:space="preserve">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/>
          </w:p>
          <w:p>
            <w:pPr>
              <w:pStyle w:val="618"/>
            </w:pPr>
            <w:r>
              <w:t xml:space="preserve">окончания срока представления заявок на участие в торгах при отсутст</w:t>
            </w:r>
            <w:r>
              <w:t xml:space="preserve">вии заявок на участие в торгах;</w:t>
            </w:r>
            <w:r/>
          </w:p>
          <w:p>
            <w:pPr>
              <w:pStyle w:val="618"/>
            </w:pPr>
            <w:r>
              <w:t xml:space="preserve"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  <w:r/>
          </w:p>
          <w:p>
            <w:pPr>
              <w:pStyle w:val="618"/>
            </w:pPr>
            <w:r>
              <w:t xml:space="preserve">Организатор торгов рассматривает, подписывает квалифицированной электронной подписью и направл</w:t>
            </w:r>
            <w:r>
              <w:t xml:space="preserve">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</w:p>
          <w:p>
            <w:pPr>
              <w:pStyle w:val="618"/>
            </w:pPr>
            <w:r>
              <w:t xml:space="preserve">Решение о признании торгов несостоявшимися размещается оператором электронной площадки на электронной площадке.</w:t>
            </w:r>
            <w:r/>
          </w:p>
          <w:p>
            <w:pPr>
              <w:pStyle w:val="618"/>
            </w:pPr>
            <w:r>
              <w:t xml:space="preserve">Не позднее тридцати минут после размещения на электронной площадке решения организатор торгов посредством программно-аппаратных средст</w:t>
            </w:r>
            <w:r>
              <w:t xml:space="preserve">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618"/>
            </w:pPr>
            <w: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 xml:space="preserve">имущества заключается финансовым</w:t>
            </w:r>
            <w:r>
              <w:t xml:space="preserve"> управляющим с этим участником торгов в соответствии с представленным им предложением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Порядок и срок заключения договора купли-продажи </w:t>
            </w:r>
            <w:r>
              <w:t xml:space="preserve">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течение пяти дней с даты </w:t>
            </w:r>
            <w:r>
              <w:t xml:space="preserve">утверждения протокола финансовый</w:t>
            </w:r>
            <w:r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618"/>
            </w:pPr>
            <w: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618"/>
            </w:pPr>
            <w:r>
              <w:t xml:space="preserve">В случае отказа или уклонения победителя торгов от подписания договора куп</w:t>
            </w:r>
            <w:r>
              <w:t xml:space="preserve">ли-продажи имущества в течение пяти дней со дня п</w:t>
            </w:r>
            <w:r>
              <w:t xml:space="preserve">олучения предложения финансового</w:t>
            </w:r>
            <w:r>
              <w:t xml:space="preserve"> управляющего о заключении такого договора внесенный з</w:t>
            </w:r>
            <w:r>
              <w:t xml:space="preserve">адаток ему не возвращается и финансовый</w:t>
            </w:r>
            <w:r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Условия возврата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Суммы внесенных заявителями задатков возвращаются всем заявителям, за исключени</w:t>
            </w:r>
            <w:r>
              <w:t xml:space="preserve">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Условия оплаты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  <w:rPr>
                <w:highlight w:val="none"/>
              </w:rPr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/>
            <w:r/>
          </w:p>
          <w:p>
            <w:pPr>
              <w:pStyle w:val="618"/>
            </w:pPr>
            <w:r/>
            <w:r>
              <w:t xml:space="preserve">Получатель: Баранов Денис Александрович</w:t>
              <w:br/>
              <w:t xml:space="preserve">Номер счёта: 40817810450230248906 (Задатковый)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544543001</w:t>
            </w:r>
            <w:r/>
            <w:r/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  <w:p>
            <w:pPr>
              <w:pStyle w:val="618"/>
            </w:pPr>
            <w:r>
              <w:t xml:space="preserve">При 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Обязательн</w:t>
            </w:r>
            <w:r>
              <w:t xml:space="preserve">ыми условиями до</w:t>
            </w:r>
            <w:r>
              <w:t xml:space="preserve">говора купли-продажи имущества</w:t>
            </w:r>
            <w:r>
              <w:t xml:space="preserve"> являются:</w:t>
            </w:r>
            <w:r/>
          </w:p>
          <w:p>
            <w:pPr>
              <w:pStyle w:val="618"/>
            </w:pPr>
            <w:r>
              <w:t xml:space="preserve">сведения об имуществе</w:t>
            </w:r>
            <w:r>
              <w:t xml:space="preserve">, его составе, харак</w:t>
            </w:r>
            <w:r>
              <w:t xml:space="preserve">теристиках, описание имущества</w:t>
            </w:r>
            <w:r>
              <w:t xml:space="preserve">;</w:t>
            </w:r>
            <w:r/>
          </w:p>
          <w:p>
            <w:pPr>
              <w:pStyle w:val="618"/>
            </w:pPr>
            <w:r>
              <w:t xml:space="preserve">цена продажи имущества</w:t>
            </w:r>
            <w:r>
              <w:t xml:space="preserve">;</w:t>
            </w:r>
            <w:r/>
          </w:p>
          <w:p>
            <w:pPr>
              <w:pStyle w:val="618"/>
            </w:pPr>
            <w:r>
              <w:t xml:space="preserve">пор</w:t>
            </w:r>
            <w:r>
              <w:t xml:space="preserve">ядок и срок передачи имущества</w:t>
            </w:r>
            <w:r>
              <w:t xml:space="preserve"> покупателю;</w:t>
            </w:r>
            <w:r/>
          </w:p>
          <w:p>
            <w:pPr>
              <w:pStyle w:val="618"/>
            </w:pPr>
            <w:r>
              <w:t xml:space="preserve">сведения о наличии или об отсутствии обр</w:t>
            </w:r>
            <w:r>
              <w:t xml:space="preserve">еменении в отношении имущества</w:t>
            </w:r>
            <w:r>
              <w:t xml:space="preserve">, в том числе публичного сервитута;</w:t>
            </w:r>
            <w:r/>
          </w:p>
          <w:p>
            <w:pPr>
              <w:pStyle w:val="618"/>
            </w:pPr>
            <w:r>
              <w:t xml:space="preserve">иные предусмотренные законодательством Российской Федерации условия.</w:t>
            </w:r>
            <w:r/>
          </w:p>
          <w:p>
            <w:pPr>
              <w:pStyle w:val="618"/>
            </w:pPr>
            <w:r>
              <w:t xml:space="preserve">Передача имущества финансовым</w:t>
            </w:r>
            <w:r>
              <w:t xml:space="preserve"> управляющим и принятие его покупателем осуществляются по передаточному акту, подписываемому сторонами и офо</w:t>
            </w:r>
            <w:r>
              <w:t xml:space="preserve">рмляемому в соответствии с </w:t>
            </w:r>
            <w:r>
              <w:fldChar w:fldCharType="begin"/>
            </w:r>
            <w:r>
              <w:instrText xml:space="preserve"> HYPERLINK "consultantplus://offline/ref=C170E87E5106903B2C2693164E83ABCA2276C913842C8ACC75FF6C560D0667AC2FE2ED39A0D15019R9r5M" </w:instrText>
            </w:r>
            <w:r>
              <w:fldChar w:fldCharType="separate"/>
            </w:r>
            <w:r>
              <w:rPr>
                <w:rStyle w:val="624"/>
                <w:color w:val="000000"/>
                <w:u w:val="none"/>
              </w:rPr>
              <w:t xml:space="preserve">законодательством</w:t>
            </w:r>
            <w:r>
              <w:rPr>
                <w:rStyle w:val="624"/>
                <w:color w:val="000000"/>
                <w:u w:val="none"/>
              </w:rPr>
              <w:fldChar w:fldCharType="end"/>
            </w:r>
            <w:r>
              <w:t xml:space="preserve"> Российской Федерации.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Проведение повторных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 xml:space="preserve">по результатам торгов финансовый</w:t>
            </w:r>
            <w:r>
              <w:t xml:space="preserve"> управляющий в течение двух дней после завершения срока, установленного </w:t>
            </w:r>
            <w:r>
              <w:t xml:space="preserve">для принятия решений о признании торгов несостоявшими</w:t>
            </w:r>
            <w:r>
              <w:t xml:space="preserve">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  <w:r/>
          </w:p>
          <w:p>
            <w:pPr>
              <w:pStyle w:val="618"/>
            </w:pPr>
            <w:r>
              <w:t xml:space="preserve">Повторные торги проводятся в соответствии с условиями проведения первоначальных торгов.</w:t>
            </w:r>
            <w:r/>
          </w:p>
          <w:p>
            <w:pPr>
              <w:pStyle w:val="618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</w:t>
            </w:r>
            <w:r>
              <w:t xml:space="preserve">жи имущества, установленной на первоначальных торгах</w:t>
            </w:r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  <w:r/>
          </w:p>
          <w:p>
            <w:pPr>
              <w:pStyle w:val="618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  <w:r/>
          </w:p>
          <w:p>
            <w:pPr>
              <w:pStyle w:val="618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  <w:r/>
          </w:p>
          <w:p>
            <w:pPr>
              <w:pStyle w:val="618"/>
            </w:pPr>
            <w:r>
              <w:t xml:space="preserve">Величина снижения начальной цены продажи имущества должника - 10 %.</w:t>
            </w:r>
            <w:r/>
            <w:r/>
          </w:p>
          <w:p>
            <w:pPr>
              <w:pStyle w:val="618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  <w:r/>
          </w:p>
          <w:p>
            <w:pPr>
              <w:pStyle w:val="618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  <w:r/>
          </w:p>
          <w:p>
            <w:pPr>
              <w:pStyle w:val="618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  <w:r/>
          </w:p>
          <w:p>
            <w:pPr>
              <w:pStyle w:val="618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  <w:r/>
          </w:p>
          <w:p>
            <w:pPr>
              <w:pStyle w:val="618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  <w:r/>
          </w:p>
          <w:p>
            <w:pPr>
              <w:pStyle w:val="618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  <w:r/>
          </w:p>
          <w:p>
            <w:pPr>
              <w:pStyle w:val="618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  <w:r/>
          </w:p>
          <w:p>
            <w:pPr>
              <w:pStyle w:val="618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  <w:r/>
          </w:p>
          <w:p>
            <w:pPr>
              <w:pStyle w:val="618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  <w:r/>
          </w:p>
          <w:p>
            <w:pPr>
              <w:pStyle w:val="618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  <w:r/>
          </w:p>
          <w:p>
            <w:pPr>
              <w:pStyle w:val="618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  <w:r/>
          </w:p>
          <w:p>
            <w:pPr>
              <w:pStyle w:val="618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  <w:r/>
          </w:p>
          <w:p>
            <w:pPr>
              <w:pStyle w:val="618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  <w:r/>
          </w:p>
          <w:p>
            <w:pPr>
              <w:pStyle w:val="618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  <w:r/>
          </w:p>
          <w:p>
            <w:pPr>
              <w:pStyle w:val="618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  <w:r/>
          </w:p>
          <w:p>
            <w:pPr>
              <w:pStyle w:val="618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  <w:r/>
            <w:r/>
          </w:p>
        </w:tc>
      </w:tr>
    </w:tbl>
    <w:p>
      <w:pPr>
        <w:pStyle w:val="618"/>
      </w:pPr>
      <w:r/>
      <w:r/>
    </w:p>
    <w:p>
      <w:pPr>
        <w:pStyle w:val="618"/>
        <w:jc w:val="both"/>
      </w:pPr>
      <w:r/>
      <w:r/>
    </w:p>
    <w:p>
      <w:pPr>
        <w:pStyle w:val="618"/>
        <w:ind w:left="-567"/>
        <w:jc w:val="both"/>
      </w:pPr>
      <w: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t xml:space="preserve">Приказом Минэк</w:t>
      </w:r>
      <w:r>
        <w:t xml:space="preserve">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</w:t>
      </w:r>
      <w:r>
        <w:t xml:space="preserve">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625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18"/>
            </w:pPr>
            <w:r/>
            <w:r/>
          </w:p>
          <w:p>
            <w:pPr>
              <w:pStyle w:val="618"/>
            </w:pPr>
            <w:r>
              <w:t xml:space="preserve">Финансовый управляющий</w:t>
            </w:r>
            <w:r>
              <w:rPr>
                <w:bCs/>
              </w:rPr>
              <w:br w:type="textWrapping" w:clear="all"/>
            </w:r>
            <w:r>
              <w:t xml:space="preserve">Баранов Денис Александрович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" w:type="auto"/>
            <w:vAlign w:val="center"/>
            <w:textDirection w:val="lrTb"/>
            <w:noWrap w:val="false"/>
          </w:tcPr>
          <w:p>
            <w:pPr>
              <w:pStyle w:val="618"/>
            </w:pPr>
            <w:r>
              <w:t xml:space="preserve"> 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2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М.В. Косточкина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18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next w:val="618"/>
    <w:link w:val="618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619">
    <w:name w:val="Основной шрифт абзаца"/>
    <w:next w:val="619"/>
    <w:link w:val="618"/>
    <w:uiPriority w:val="1"/>
    <w:semiHidden/>
    <w:unhideWhenUsed/>
  </w:style>
  <w:style w:type="table" w:styleId="620">
    <w:name w:val="Обычная таблица"/>
    <w:next w:val="620"/>
    <w:link w:val="618"/>
    <w:uiPriority w:val="99"/>
    <w:semiHidden/>
    <w:unhideWhenUsed/>
    <w:tblPr/>
  </w:style>
  <w:style w:type="numbering" w:styleId="621">
    <w:name w:val="Нет списка"/>
    <w:next w:val="621"/>
    <w:link w:val="618"/>
    <w:uiPriority w:val="99"/>
    <w:semiHidden/>
    <w:unhideWhenUsed/>
  </w:style>
  <w:style w:type="paragraph" w:styleId="622">
    <w:name w:val="Обычный1"/>
    <w:next w:val="622"/>
    <w:link w:val="618"/>
    <w:rPr>
      <w:rFonts w:ascii="Times New Roman" w:hAnsi="Times New Roman" w:eastAsia="Times New Roman"/>
      <w:lang w:val="ru-RU" w:eastAsia="ru-RU" w:bidi="ar-SA"/>
    </w:rPr>
  </w:style>
  <w:style w:type="table" w:styleId="623">
    <w:name w:val="Сетка таблицы"/>
    <w:basedOn w:val="620"/>
    <w:next w:val="623"/>
    <w:link w:val="618"/>
    <w:uiPriority w:val="59"/>
    <w:pPr>
      <w:spacing w:after="0" w:line="240" w:lineRule="auto"/>
    </w:pPr>
    <w:tblPr/>
  </w:style>
  <w:style w:type="character" w:styleId="624">
    <w:name w:val="Гиперссылка"/>
    <w:next w:val="624"/>
    <w:link w:val="618"/>
    <w:uiPriority w:val="99"/>
    <w:unhideWhenUsed/>
    <w:rPr>
      <w:color w:val="0000ff"/>
      <w:u w:val="single"/>
    </w:rPr>
  </w:style>
  <w:style w:type="paragraph" w:styleId="625">
    <w:name w:val="ConsPlusNonformat"/>
    <w:next w:val="625"/>
    <w:link w:val="618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626">
    <w:name w:val="Обычный (веб)"/>
    <w:basedOn w:val="618"/>
    <w:next w:val="626"/>
    <w:link w:val="618"/>
    <w:pPr>
      <w:spacing w:before="240" w:after="240"/>
      <w:widowControl/>
    </w:pPr>
    <w:rPr>
      <w:sz w:val="24"/>
      <w:szCs w:val="24"/>
    </w:rPr>
  </w:style>
  <w:style w:type="character" w:styleId="1992" w:default="1">
    <w:name w:val="Default Paragraph Font"/>
    <w:uiPriority w:val="1"/>
    <w:semiHidden/>
    <w:unhideWhenUsed/>
  </w:style>
  <w:style w:type="numbering" w:styleId="1993" w:default="1">
    <w:name w:val="No List"/>
    <w:uiPriority w:val="99"/>
    <w:semiHidden/>
    <w:unhideWhenUsed/>
  </w:style>
  <w:style w:type="table" w:styleId="199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VU8K</dc:creator>
  <cp:lastModifiedBy>alesh</cp:lastModifiedBy>
  <cp:revision>3</cp:revision>
  <dcterms:created xsi:type="dcterms:W3CDTF">2026-08-11T07:33:00Z</dcterms:created>
  <dcterms:modified xsi:type="dcterms:W3CDTF">2026-08-11T08:57:08Z</dcterms:modified>
  <cp:version>1048576</cp:version>
</cp:coreProperties>
</file>