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7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Орловской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Кучеренко Станислава Ивановича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1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Кучеренко Станислава Ивановича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26.09.1991</w:t>
      </w:r>
      <w:r>
        <w:rPr>
          <w:sz w:val="24"/>
          <w:szCs w:val="24"/>
        </w:rPr>
        <w:t xml:space="preserve">, место рожден</w:t>
      </w:r>
      <w:r>
        <w:rPr>
          <w:sz w:val="24"/>
          <w:szCs w:val="24"/>
        </w:rPr>
        <w:t xml:space="preserve">ия: </w:t>
      </w:r>
      <w:r>
        <w:rPr>
          <w:sz w:val="24"/>
          <w:szCs w:val="24"/>
        </w:rPr>
        <w:t xml:space="preserve">гор. Павлодар Казахской ССР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166-390-732 90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572211611459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303320, Орловская область, пгт Змиёвка, ул Лескова, д 41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Описание, характеристик</w:t>
                  </w:r>
                  <w:r>
                    <w:t xml:space="preserve">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МИЦУБИСИ ГРАНДИС 2.4 6-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</w:t>
                  </w:r>
                  <w:r>
                    <w:rPr>
                      <w:sz w:val="20"/>
                      <w:szCs w:val="20"/>
                    </w:rPr>
                    <w:t xml:space="preserve">А479СУ186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универсал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Серебристый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2250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730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514 000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</w:tr>
          </w:tbl>
          <w:p>
            <w:pPr>
              <w:pStyle w:val="617"/>
            </w:pPr>
            <w:r>
              <w:t xml:space="preserve">Ознакомление с имуществом производится по адресу:</w:t>
            </w:r>
            <w:r>
              <w:rPr>
                <w:sz w:val="24"/>
                <w:szCs w:val="24"/>
              </w:rPr>
              <w:t xml:space="preserve">303320, Орловская область, пгт Змиёвка, ул Лескова, д 41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Сроки продажи имуществ</w:t>
            </w:r>
            <w:r>
              <w:t xml:space="preserve">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/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Финансовый управляющий </w:t>
            </w:r>
            <w:r>
              <w:t xml:space="preserve">Кучеренко Станислава Ивановича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</w:t>
            </w:r>
            <w:r>
              <w:t xml:space="preserve">ного суда Орловской области от 02.10.2025 г. по делу № А48-5920/2025 Е.И. Дьячук</w:t>
            </w:r>
            <w:r/>
          </w:p>
          <w:p>
            <w:pPr>
              <w:pStyle w:val="617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7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7"/>
            </w:pPr>
            <w:r>
              <w:t xml:space="preserve">- определяет участников торгов;</w:t>
            </w:r>
            <w:r/>
          </w:p>
          <w:p>
            <w:pPr>
              <w:pStyle w:val="617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7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Сведения об организаторе торгов:</w:t>
            </w:r>
            <w:r/>
          </w:p>
          <w:p>
            <w:pPr>
              <w:pStyle w:val="617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</w:t>
            </w:r>
            <w:r>
              <w:t xml:space="preserve">рхангельск, Воскресенская, 59, 2 этаж</w:t>
            </w:r>
            <w:r/>
          </w:p>
          <w:p>
            <w:pPr>
              <w:pStyle w:val="617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7"/>
            </w:pPr>
            <w:r>
              <w:t xml:space="preserve">- контактный номер: </w:t>
            </w:r>
            <w:r/>
            <w:r>
              <w:t xml:space="preserve">+79969844090</w:t>
            </w:r>
            <w:r>
              <w:t xml:space="preserve">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2. Внесе</w:t>
            </w:r>
            <w:r>
              <w:t xml:space="preserve">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7"/>
            </w:pPr>
            <w:r/>
            <w:r>
              <w:t xml:space="preserve">Получатель: Кучеренко Станислав Иванович</w:t>
              <w:br/>
              <w:t xml:space="preserve">Номер счёта: 40817810050224013521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7"/>
            </w:pPr>
            <w:r>
              <w:t xml:space="preserve">а) наименование, организационно-правовая форма, </w:t>
            </w:r>
            <w:r>
              <w:t xml:space="preserve">место нахождения, почтовый адрес заявителя (для юридического лица);</w:t>
            </w:r>
            <w:r/>
          </w:p>
          <w:p>
            <w:pPr>
              <w:pStyle w:val="617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7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7"/>
            </w:pPr>
            <w:r>
              <w:t xml:space="preserve">г) сведения о наличии или </w:t>
            </w:r>
            <w:r>
              <w:t xml:space="preserve">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</w:t>
            </w:r>
            <w:r>
              <w:t xml:space="preserve">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7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</w:t>
            </w:r>
            <w:r>
              <w:t xml:space="preserve">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7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</w:t>
            </w:r>
            <w:r>
              <w:t xml:space="preserve">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7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</w:t>
            </w:r>
            <w:r>
              <w:t xml:space="preserve">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после окончания срока</w:t>
            </w:r>
            <w:r>
              <w:t xml:space="preserve">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7"/>
            </w:pPr>
            <w:r>
              <w:t xml:space="preserve">Организатор торгов п</w:t>
            </w:r>
            <w:r>
              <w:t xml:space="preserve">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</w:t>
            </w:r>
            <w:r>
              <w:t xml:space="preserve">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7"/>
            </w:pPr>
            <w:r>
              <w:t xml:space="preserve">В течение пяти к</w:t>
            </w:r>
            <w:r>
              <w:t xml:space="preserve">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</w:t>
            </w:r>
            <w:r>
              <w:t xml:space="preserve"> заявок на участие в торгах и не отозвана до окончания срока представления заявок на участие в торгах, электронное сообщ</w:t>
            </w:r>
            <w:r>
              <w:t xml:space="preserve">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7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</w:t>
            </w:r>
            <w:r>
              <w:t xml:space="preserve">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7"/>
            </w:pPr>
            <w:r>
              <w:t xml:space="preserve">Решение об отказе в допуске заявителя к участию в торгах принима</w:t>
            </w:r>
            <w:r>
              <w:t xml:space="preserve">ется в случае, если:</w:t>
            </w:r>
            <w:r/>
          </w:p>
          <w:p>
            <w:pPr>
              <w:pStyle w:val="617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7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7"/>
            </w:pPr>
            <w:r>
              <w:t xml:space="preserve">- поступление задатка на счета, указанные в сообщении о </w:t>
            </w:r>
            <w:r>
              <w:t xml:space="preserve">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торгах могут принимать участие только лица, признанные участниками торгов. Торги проводятся на э</w:t>
            </w:r>
            <w:r>
              <w:t xml:space="preserve">лектронной площадке в день и время, указанные в сообщении о продаже.</w:t>
            </w:r>
            <w:r/>
          </w:p>
          <w:p>
            <w:pPr>
              <w:pStyle w:val="617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</w:t>
            </w:r>
            <w:r>
              <w:t xml:space="preserve">ний. </w:t>
            </w:r>
            <w:r/>
          </w:p>
          <w:p>
            <w:pPr>
              <w:pStyle w:val="617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7"/>
            </w:pPr>
            <w:r>
              <w:t xml:space="preserve">Если в течение одного часа с момента начала представления предложений о цене не поступи</w:t>
            </w:r>
            <w:r>
              <w:t xml:space="preserve">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7"/>
            </w:pPr>
            <w:r>
              <w:t xml:space="preserve">Если в течение тридцати минут после представления последнего предложения о цене (не учитывая откл</w:t>
            </w:r>
            <w:r>
              <w:t xml:space="preserve">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7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</w:t>
            </w:r>
            <w:r>
              <w:t xml:space="preserve">учае, если:</w:t>
            </w:r>
            <w:r/>
          </w:p>
          <w:p>
            <w:pPr>
              <w:pStyle w:val="617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7"/>
            </w:pPr>
            <w:r>
              <w:t xml:space="preserve">б) предложение о цене увелич</w:t>
            </w:r>
            <w:r>
              <w:t xml:space="preserve">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7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7"/>
            </w:pPr>
            <w:r>
              <w:t xml:space="preserve">Выигравшим аукцион признается участник, предложивший наиболее высокую це</w:t>
            </w:r>
            <w:r>
              <w:t xml:space="preserve">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</w:t>
            </w:r>
            <w:r>
              <w:t xml:space="preserve">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7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7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</w:t>
            </w:r>
            <w:r>
              <w:t xml:space="preserve">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7"/>
            </w:pPr>
            <w:r>
              <w:t xml:space="preserve">Оператором электронной площадки с помощью программно</w:t>
            </w:r>
            <w:r>
              <w:t xml:space="preserve">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7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7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</w:t>
            </w:r>
            <w:r>
              <w:t xml:space="preserve">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7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7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7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7"/>
            </w:pPr>
            <w:r/>
            <w:r>
              <w:t xml:space="preserve">Получатель: Кучеренко Станислав Иванович</w:t>
              <w:br/>
              <w:t xml:space="preserve">Номер счёта: 40817810050224013521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7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7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7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7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7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3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3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7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7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7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7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7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7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7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7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7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7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7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7"/>
            </w:pPr>
            <w:r/>
          </w:p>
        </w:tc>
      </w:tr>
    </w:tbl>
    <w:p>
      <w:pPr>
        <w:pStyle w:val="617"/>
      </w:pPr>
      <w:r/>
      <w:r/>
    </w:p>
    <w:p>
      <w:pPr>
        <w:pStyle w:val="617"/>
        <w:jc w:val="both"/>
      </w:pPr>
      <w:r/>
      <w:r/>
    </w:p>
    <w:p>
      <w:pPr>
        <w:pStyle w:val="617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7"/>
            </w:pPr>
            <w:r/>
            <w:r/>
          </w:p>
          <w:p>
            <w:pPr>
              <w:pStyle w:val="617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Кучеренко Станислава Ивановича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7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7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7"/>
    <w:next w:val="61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7"/>
    <w:next w:val="61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7"/>
    <w:next w:val="61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7"/>
    <w:next w:val="61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7"/>
    <w:next w:val="61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7"/>
    <w:next w:val="61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7"/>
    <w:next w:val="61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7"/>
    <w:next w:val="61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7"/>
    <w:next w:val="61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7"/>
    <w:next w:val="61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7"/>
    <w:next w:val="61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7"/>
    <w:next w:val="61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7"/>
    <w:next w:val="61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7"/>
    <w:next w:val="61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next w:val="617"/>
    <w:link w:val="617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8">
    <w:name w:val="Основной шрифт абзаца"/>
    <w:next w:val="618"/>
    <w:link w:val="617"/>
    <w:uiPriority w:val="1"/>
    <w:semiHidden/>
    <w:unhideWhenUsed/>
  </w:style>
  <w:style w:type="table" w:styleId="619">
    <w:name w:val="Обычная таблица"/>
    <w:next w:val="619"/>
    <w:link w:val="617"/>
    <w:uiPriority w:val="99"/>
    <w:semiHidden/>
    <w:unhideWhenUsed/>
    <w:tblPr/>
  </w:style>
  <w:style w:type="numbering" w:styleId="620">
    <w:name w:val="Нет списка"/>
    <w:next w:val="620"/>
    <w:link w:val="617"/>
    <w:uiPriority w:val="99"/>
    <w:semiHidden/>
    <w:unhideWhenUsed/>
  </w:style>
  <w:style w:type="paragraph" w:styleId="621">
    <w:name w:val="Обычный1"/>
    <w:next w:val="621"/>
    <w:link w:val="617"/>
    <w:rPr>
      <w:rFonts w:ascii="Times New Roman" w:hAnsi="Times New Roman" w:eastAsia="Times New Roman"/>
      <w:lang w:val="ru-RU" w:eastAsia="ru-RU" w:bidi="ar-SA"/>
    </w:rPr>
  </w:style>
  <w:style w:type="table" w:styleId="622">
    <w:name w:val="Сетка таблицы"/>
    <w:basedOn w:val="619"/>
    <w:next w:val="622"/>
    <w:link w:val="617"/>
    <w:uiPriority w:val="59"/>
    <w:pPr>
      <w:spacing w:after="0" w:line="240" w:lineRule="auto"/>
    </w:pPr>
    <w:tblPr/>
  </w:style>
  <w:style w:type="character" w:styleId="623">
    <w:name w:val="Гиперссылка"/>
    <w:next w:val="623"/>
    <w:link w:val="617"/>
    <w:uiPriority w:val="99"/>
    <w:unhideWhenUsed/>
    <w:rPr>
      <w:color w:val="0000ff"/>
      <w:u w:val="single"/>
    </w:rPr>
  </w:style>
  <w:style w:type="paragraph" w:styleId="624">
    <w:name w:val="ConsPlusNonformat"/>
    <w:next w:val="624"/>
    <w:link w:val="617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5">
    <w:name w:val="Обычный (веб)"/>
    <w:basedOn w:val="617"/>
    <w:next w:val="625"/>
    <w:link w:val="617"/>
    <w:pPr>
      <w:spacing w:before="240" w:after="240"/>
      <w:widowControl/>
    </w:pPr>
    <w:rPr>
      <w:sz w:val="24"/>
      <w:szCs w:val="24"/>
    </w:rPr>
  </w:style>
  <w:style w:type="character" w:styleId="1992" w:default="1">
    <w:name w:val="Default Paragraph Font"/>
    <w:uiPriority w:val="1"/>
    <w:semiHidden/>
    <w:unhideWhenUsed/>
  </w:style>
  <w:style w:type="numbering" w:styleId="1993" w:default="1">
    <w:name w:val="No List"/>
    <w:uiPriority w:val="99"/>
    <w:semiHidden/>
    <w:unhideWhenUsed/>
  </w:style>
  <w:style w:type="table" w:styleId="1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2026-08-10T12:39:00Z</dcterms:created>
  <dcterms:modified xsi:type="dcterms:W3CDTF">2026-08-10T13:42:14Z</dcterms:modified>
  <cp:version>1048576</cp:version>
</cp:coreProperties>
</file>