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ustom.xml" ContentType="application/vnd.openxmlformats-officedocument.custom-properties+xml"/>
  <Override PartName="/docProps/core.xml" ContentType="application/vnd.openxmlformats-package.core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tbl>
      <w:tblPr>
        <w:tblW w:w="6095" w:type="dxa"/>
        <w:jc w:val="right"/>
        <w:tblInd w:w="0" w:type="dxa"/>
        <w:tblLayout w:type="fixed"/>
        <w:tblCellMar>
          <w:left w:w="0" w:type="dxa"/>
          <w:top w:w="0" w:type="dxa"/>
          <w:right w:w="0" w:type="dxa"/>
          <w:bottom w:w="0" w:type="dxa"/>
        </w:tblCellMar>
        <w:tblLook w:val="0000" w:firstRow="0" w:lastRow="0" w:firstColumn="0" w:lastColumn="0" w:noHBand="0" w:noVBand="0"/>
      </w:tblPr>
      <w:tblGrid>
        <w:gridCol w:w="6095"/>
      </w:tblGrid>
      <w:tr>
        <w:tblPrEx/>
        <w:trPr>
          <w:trHeight w:val="1126"/>
        </w:trPr>
        <w:tc>
          <w:tcPr>
            <w:tcW w:w="6095" w:type="dxa"/>
            <w:textDirection w:val="lrTb"/>
            <w:noWrap w:val="false"/>
          </w:tcPr>
          <w:p>
            <w:pPr>
              <w:pStyle w:val="622"/>
              <w:jc w:val="right"/>
              <w:rPr>
                <w:b w:val="0"/>
                <w:bCs w:val="0"/>
                <w:i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 xml:space="preserve">В </w:t>
            </w:r>
            <w:r>
              <w:rPr>
                <w:b w:val="0"/>
                <w:bCs w:val="0"/>
                <w:sz w:val="20"/>
                <w:szCs w:val="20"/>
              </w:rPr>
              <w:t xml:space="preserve">Арбитражный суд </w:t>
            </w:r>
            <w:r>
              <w:rPr>
                <w:b w:val="0"/>
                <w:bCs w:val="0"/>
                <w:sz w:val="20"/>
                <w:szCs w:val="20"/>
              </w:rPr>
              <w:t xml:space="preserve">Красноярского края</w:t>
            </w:r>
            <w:r>
              <w:rPr>
                <w:b w:val="0"/>
                <w:bCs w:val="0"/>
                <w:sz w:val="20"/>
                <w:szCs w:val="20"/>
                <w:lang w:val="en-US"/>
              </w:rPr>
              <w:t xml:space="preserve"> </w:t>
            </w:r>
            <w:r>
              <w:rPr>
                <w:b w:val="0"/>
                <w:bCs w:val="0"/>
                <w:i/>
                <w:sz w:val="20"/>
                <w:szCs w:val="20"/>
              </w:rPr>
            </w:r>
          </w:p>
          <w:p>
            <w:pPr>
              <w:pStyle w:val="622"/>
              <w:jc w:val="right"/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  <w:lang w:val="en-US"/>
              </w:rPr>
            </w:r>
            <w:r>
              <w:rPr>
                <w:b w:val="0"/>
                <w:bCs w:val="0"/>
                <w:sz w:val="20"/>
                <w:szCs w:val="20"/>
              </w:rPr>
            </w:r>
          </w:p>
          <w:p>
            <w:pPr>
              <w:pStyle w:val="622"/>
              <w:jc w:val="center"/>
              <w:rPr>
                <w:b w:val="0"/>
                <w:bCs w:val="0"/>
                <w:sz w:val="20"/>
                <w:szCs w:val="20"/>
                <w:lang w:val="en-US"/>
              </w:rPr>
            </w:pPr>
            <w:r>
              <w:rPr>
                <w:b w:val="0"/>
                <w:bCs w:val="0"/>
                <w:sz w:val="20"/>
                <w:szCs w:val="20"/>
              </w:rPr>
              <w:t xml:space="preserve">От</w:t>
            </w:r>
            <w:r>
              <w:rPr>
                <w:b w:val="0"/>
                <w:bCs w:val="0"/>
                <w:sz w:val="20"/>
                <w:szCs w:val="20"/>
                <w:lang w:val="en-US"/>
              </w:rPr>
              <w:t xml:space="preserve"> </w:t>
            </w:r>
            <w:r>
              <w:rPr>
                <w:b w:val="0"/>
                <w:bCs w:val="0"/>
                <w:sz w:val="20"/>
                <w:szCs w:val="20"/>
              </w:rPr>
              <w:t xml:space="preserve">финансового</w:t>
            </w:r>
            <w:r>
              <w:rPr>
                <w:b w:val="0"/>
                <w:bCs w:val="0"/>
                <w:sz w:val="20"/>
                <w:szCs w:val="20"/>
                <w:lang w:val="en-US"/>
              </w:rPr>
              <w:t xml:space="preserve"> </w:t>
            </w:r>
            <w:r>
              <w:rPr>
                <w:b w:val="0"/>
                <w:bCs w:val="0"/>
                <w:sz w:val="20"/>
                <w:szCs w:val="20"/>
              </w:rPr>
              <w:t xml:space="preserve">управляющего</w:t>
            </w:r>
            <w:r>
              <w:rPr>
                <w:b w:val="0"/>
                <w:bCs w:val="0"/>
                <w:sz w:val="20"/>
                <w:szCs w:val="20"/>
                <w:lang w:val="en-US"/>
              </w:rPr>
              <w:t xml:space="preserve"> Тарасова Виктора</w:t>
            </w:r>
            <w:r>
              <w:rPr>
                <w:b w:val="0"/>
                <w:bCs w:val="0"/>
                <w:sz w:val="20"/>
                <w:szCs w:val="20"/>
                <w:lang w:val="en-US"/>
              </w:rPr>
              <w:t xml:space="preserve"> </w:t>
            </w:r>
            <w:r>
              <w:rPr>
                <w:b w:val="0"/>
                <w:bCs w:val="0"/>
                <w:sz w:val="20"/>
                <w:szCs w:val="20"/>
                <w:lang w:val="en-US"/>
              </w:rPr>
              <w:t xml:space="preserve">Игоревича </w:t>
            </w:r>
            <w:r>
              <w:rPr>
                <w:b w:val="0"/>
                <w:bCs w:val="0"/>
                <w:sz w:val="20"/>
                <w:szCs w:val="20"/>
                <w:lang w:val="en-US"/>
              </w:rPr>
              <w:t xml:space="preserve"> </w:t>
            </w:r>
            <w:r>
              <w:rPr>
                <w:b w:val="0"/>
                <w:bCs w:val="0"/>
                <w:sz w:val="20"/>
                <w:szCs w:val="20"/>
              </w:rPr>
            </w:r>
          </w:p>
          <w:p>
            <w:pPr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 xml:space="preserve">                                                    Косточкиной Марии Васильевны</w:t>
            </w:r>
            <w:r/>
          </w:p>
        </w:tc>
      </w:tr>
    </w:tbl>
    <w:p>
      <w:pPr>
        <w:pStyle w:val="632"/>
        <w:ind w:left="720" w:hanging="720"/>
        <w:jc w:val="center"/>
        <w:rPr>
          <w:b/>
          <w:bCs/>
          <w:sz w:val="24"/>
          <w:szCs w:val="24"/>
          <w:lang w:val="en-US"/>
        </w:rPr>
      </w:pPr>
      <w:r>
        <w:rPr>
          <w:b/>
          <w:sz w:val="24"/>
          <w:szCs w:val="24"/>
          <w:highlight w:val="none"/>
        </w:rPr>
      </w:r>
      <w:r>
        <w:rPr>
          <w:b/>
          <w:sz w:val="24"/>
          <w:szCs w:val="24"/>
          <w:highlight w:val="none"/>
        </w:rPr>
      </w:r>
    </w:p>
    <w:p>
      <w:pPr>
        <w:pStyle w:val="632"/>
        <w:ind w:left="720" w:hanging="720"/>
        <w:jc w:val="center"/>
        <w:rPr>
          <w:b/>
          <w:bCs/>
          <w:sz w:val="24"/>
          <w:szCs w:val="24"/>
          <w:highlight w:val="none"/>
        </w:rPr>
      </w:pPr>
      <w:r>
        <w:rPr>
          <w:b/>
          <w:sz w:val="24"/>
          <w:szCs w:val="24"/>
          <w:highlight w:val="none"/>
        </w:rPr>
      </w:r>
      <w:r>
        <w:rPr>
          <w:b/>
          <w:sz w:val="24"/>
          <w:szCs w:val="24"/>
          <w:highlight w:val="none"/>
        </w:rPr>
      </w:r>
    </w:p>
    <w:p>
      <w:pPr>
        <w:pStyle w:val="632"/>
        <w:ind w:left="720" w:hanging="720"/>
        <w:jc w:val="center"/>
        <w:rPr>
          <w:b/>
          <w:bCs/>
          <w:sz w:val="24"/>
          <w:szCs w:val="24"/>
          <w:highlight w:val="none"/>
        </w:rPr>
      </w:pPr>
      <w:r>
        <w:rPr>
          <w:b/>
          <w:sz w:val="24"/>
          <w:szCs w:val="24"/>
        </w:rPr>
        <w:t xml:space="preserve">Положение</w:t>
      </w:r>
      <w:r>
        <w:rPr>
          <w:b/>
          <w:bCs/>
          <w:sz w:val="24"/>
          <w:szCs w:val="24"/>
          <w:highlight w:val="none"/>
        </w:rPr>
      </w:r>
    </w:p>
    <w:p>
      <w:pPr>
        <w:pStyle w:val="632"/>
        <w:jc w:val="center"/>
        <w:rPr>
          <w:b/>
          <w:sz w:val="24"/>
          <w:szCs w:val="24"/>
          <w:lang w:val="en-US"/>
        </w:rPr>
      </w:pPr>
      <w:r>
        <w:rPr>
          <w:b/>
          <w:sz w:val="24"/>
          <w:szCs w:val="24"/>
        </w:rPr>
        <w:t xml:space="preserve">о</w:t>
      </w:r>
      <w:r>
        <w:rPr>
          <w:b/>
          <w:sz w:val="24"/>
          <w:szCs w:val="24"/>
          <w:lang w:val="en-US"/>
        </w:rPr>
        <w:t xml:space="preserve"> </w:t>
      </w:r>
      <w:r>
        <w:rPr>
          <w:b/>
          <w:sz w:val="24"/>
          <w:szCs w:val="24"/>
        </w:rPr>
        <w:t xml:space="preserve">порядке</w:t>
      </w:r>
      <w:r>
        <w:rPr>
          <w:b/>
          <w:sz w:val="24"/>
          <w:szCs w:val="24"/>
          <w:lang w:val="en-US"/>
        </w:rPr>
        <w:t xml:space="preserve">, </w:t>
      </w:r>
      <w:r>
        <w:rPr>
          <w:b/>
          <w:sz w:val="24"/>
          <w:szCs w:val="24"/>
        </w:rPr>
        <w:t xml:space="preserve">об</w:t>
      </w:r>
      <w:r>
        <w:rPr>
          <w:b/>
          <w:sz w:val="24"/>
          <w:szCs w:val="24"/>
          <w:lang w:val="en-US"/>
        </w:rPr>
        <w:t xml:space="preserve"> </w:t>
      </w:r>
      <w:r>
        <w:rPr>
          <w:b/>
          <w:sz w:val="24"/>
          <w:szCs w:val="24"/>
        </w:rPr>
        <w:t xml:space="preserve">условиях</w:t>
      </w:r>
      <w:r>
        <w:rPr>
          <w:b/>
          <w:sz w:val="24"/>
          <w:szCs w:val="24"/>
          <w:lang w:val="en-US"/>
        </w:rPr>
        <w:t xml:space="preserve"> </w:t>
      </w:r>
      <w:r>
        <w:rPr>
          <w:b/>
          <w:sz w:val="24"/>
          <w:szCs w:val="24"/>
        </w:rPr>
        <w:t xml:space="preserve">и</w:t>
      </w:r>
      <w:r>
        <w:rPr>
          <w:b/>
          <w:sz w:val="24"/>
          <w:szCs w:val="24"/>
          <w:lang w:val="en-US"/>
        </w:rPr>
        <w:t xml:space="preserve"> </w:t>
      </w:r>
      <w:r>
        <w:rPr>
          <w:b/>
          <w:sz w:val="24"/>
          <w:szCs w:val="24"/>
        </w:rPr>
        <w:t xml:space="preserve">о</w:t>
      </w:r>
      <w:r>
        <w:rPr>
          <w:b/>
          <w:sz w:val="24"/>
          <w:szCs w:val="24"/>
          <w:lang w:val="en-US"/>
        </w:rPr>
        <w:t xml:space="preserve"> </w:t>
      </w:r>
      <w:r>
        <w:rPr>
          <w:b/>
          <w:sz w:val="24"/>
          <w:szCs w:val="24"/>
        </w:rPr>
        <w:t xml:space="preserve">сроках</w:t>
      </w:r>
      <w:r>
        <w:rPr>
          <w:b/>
          <w:sz w:val="24"/>
          <w:szCs w:val="24"/>
          <w:lang w:val="en-US"/>
        </w:rPr>
        <w:t xml:space="preserve"> </w:t>
      </w:r>
      <w:r>
        <w:rPr>
          <w:b/>
          <w:sz w:val="24"/>
          <w:szCs w:val="24"/>
        </w:rPr>
        <w:t xml:space="preserve">реализации</w:t>
      </w:r>
      <w:r>
        <w:rPr>
          <w:b/>
          <w:sz w:val="24"/>
          <w:szCs w:val="24"/>
          <w:lang w:val="en-US"/>
        </w:rPr>
        <w:t xml:space="preserve"> </w:t>
      </w:r>
      <w:r>
        <w:rPr>
          <w:b/>
          <w:sz w:val="24"/>
          <w:szCs w:val="24"/>
        </w:rPr>
        <w:t xml:space="preserve">имущества</w:t>
      </w:r>
      <w:r>
        <w:rPr>
          <w:b/>
          <w:sz w:val="24"/>
          <w:szCs w:val="24"/>
          <w:lang w:val="en-US"/>
        </w:rPr>
        <w:t xml:space="preserve"> Тарасова Виктора Игоревича</w:t>
      </w:r>
      <w:r>
        <w:rPr>
          <w:b/>
          <w:sz w:val="24"/>
          <w:szCs w:val="24"/>
          <w:lang w:val="en-US"/>
        </w:rPr>
      </w:r>
    </w:p>
    <w:p>
      <w:pPr>
        <w:pStyle w:val="632"/>
        <w:jc w:val="center"/>
        <w:rPr>
          <w:sz w:val="24"/>
          <w:szCs w:val="24"/>
        </w:rPr>
      </w:pPr>
      <w:r>
        <w:rPr>
          <w:sz w:val="24"/>
          <w:szCs w:val="24"/>
        </w:rPr>
      </w:r>
      <w:r>
        <w:t xml:space="preserve">(01.07.1991 г.р., место рождения:с. Шеломки,адрес регистрации: с.Шеломки, ул.50 лет ВЛКСМ д.17, ИНН 241001708889, СНИЛС 163-578-342 93)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632"/>
        <w:jc w:val="center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</w:r>
      <w:r>
        <w:rPr>
          <w:sz w:val="24"/>
          <w:szCs w:val="24"/>
          <w:lang w:val="en-US"/>
        </w:rPr>
      </w:r>
    </w:p>
    <w:tbl>
      <w:tblPr>
        <w:tblW w:w="9345" w:type="dxa"/>
        <w:jc w:val="center"/>
        <w:tblInd w:w="0" w:type="dxa"/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420"/>
        <w:gridCol w:w="1106"/>
        <w:gridCol w:w="7819"/>
      </w:tblGrid>
      <w:tr>
        <w:tblPrEx/>
        <w:trPr/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0" w:type="dxa"/>
            <w:textDirection w:val="lrTb"/>
            <w:noWrap w:val="false"/>
          </w:tcPr>
          <w:p>
            <w:pPr>
              <w:pStyle w:val="622"/>
              <w:jc w:val="center"/>
            </w:pPr>
            <w:r>
              <w:t xml:space="preserve">1.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06" w:type="dxa"/>
            <w:textDirection w:val="lrTb"/>
            <w:noWrap w:val="false"/>
          </w:tcPr>
          <w:p>
            <w:pPr>
              <w:pStyle w:val="622"/>
            </w:pPr>
            <w:r>
              <w:t xml:space="preserve">Сведения об имуществе и порядке ознакомления с ним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19" w:type="dxa"/>
            <w:textDirection w:val="lrTb"/>
            <w:noWrap w:val="false"/>
          </w:tcPr>
          <w:tbl>
            <w:tblPr>
              <w:tblW w:w="7590" w:type="dxa"/>
              <w:tblInd w:w="0" w:type="dxa"/>
              <w:tblLayout w:type="fixed"/>
              <w:tblCellMar>
                <w:left w:w="108" w:type="dxa"/>
                <w:top w:w="0" w:type="dxa"/>
                <w:right w:w="108" w:type="dxa"/>
                <w:bottom w:w="0" w:type="dxa"/>
              </w:tblCellMar>
              <w:tblLook w:val="04A0" w:firstRow="1" w:lastRow="0" w:firstColumn="1" w:lastColumn="0" w:noHBand="0" w:noVBand="1"/>
            </w:tblPr>
            <w:tblGrid>
              <w:gridCol w:w="490"/>
              <w:gridCol w:w="3093"/>
              <w:gridCol w:w="948"/>
              <w:gridCol w:w="3059"/>
            </w:tblGrid>
            <w:tr>
              <w:tblPrEx/>
              <w:trPr/>
              <w:tc>
                <w:tcPr>
                  <w:shd w:val="clear" w:color="auto" w:fill="auto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490" w:type="dxa"/>
                  <w:textDirection w:val="lrTb"/>
                  <w:noWrap w:val="false"/>
                </w:tcPr>
                <w:p>
                  <w:pPr>
                    <w:pStyle w:val="622"/>
                    <w:jc w:val="center"/>
                  </w:pPr>
                  <w:r>
                    <w:t xml:space="preserve">№ </w:t>
                  </w:r>
                  <w:r>
                    <w:t xml:space="preserve">лота</w:t>
                  </w:r>
                  <w:r/>
                </w:p>
              </w:tc>
              <w:tc>
                <w:tcPr>
                  <w:shd w:val="clear" w:color="auto" w:fill="auto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3093" w:type="dxa"/>
                  <w:textDirection w:val="lrTb"/>
                  <w:noWrap w:val="false"/>
                </w:tcPr>
                <w:p>
                  <w:pPr>
                    <w:pStyle w:val="622"/>
                    <w:jc w:val="center"/>
                  </w:pPr>
                  <w:r>
                    <w:t xml:space="preserve">Описание, характеристика имущества</w:t>
                  </w:r>
                  <w:r/>
                </w:p>
              </w:tc>
              <w:tc>
                <w:tcPr>
                  <w:shd w:val="clear" w:color="auto" w:fill="auto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948" w:type="dxa"/>
                  <w:textDirection w:val="lrTb"/>
                  <w:noWrap w:val="false"/>
                </w:tcPr>
                <w:p>
                  <w:pPr>
                    <w:pStyle w:val="622"/>
                    <w:jc w:val="center"/>
                  </w:pPr>
                  <w:r>
                    <w:t xml:space="preserve">Количество</w:t>
                  </w:r>
                  <w:r/>
                </w:p>
              </w:tc>
              <w:tc>
                <w:tcPr>
                  <w:shd w:val="clear" w:color="auto" w:fill="auto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3059" w:type="dxa"/>
                  <w:textDirection w:val="lrTb"/>
                  <w:noWrap w:val="false"/>
                </w:tcPr>
                <w:p>
                  <w:pPr>
                    <w:pStyle w:val="622"/>
                    <w:jc w:val="center"/>
                  </w:pPr>
                  <w:r>
                    <w:t xml:space="preserve">Начальная цена, руб.</w:t>
                  </w:r>
                  <w:r/>
                </w:p>
              </w:tc>
            </w:tr>
            <w:tr>
              <w:tblPrEx/>
              <w:trPr/>
              <w:tc>
                <w:tcPr>
                  <w:shd w:val="clear" w:color="auto" w:fill="auto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490" w:type="dxa"/>
                  <w:textDirection w:val="lrTb"/>
                  <w:noWrap w:val="false"/>
                </w:tcPr>
                <w:p>
                  <w:pPr>
                    <w:pStyle w:val="636"/>
                    <w:numPr>
                      <w:ilvl w:val="0"/>
                      <w:numId w:val="1"/>
                    </w:numPr>
                    <w:jc w:val="center"/>
                  </w:pPr>
                  <w:r/>
                  <w:r/>
                </w:p>
              </w:tc>
              <w:tc>
                <w:tcPr>
                  <w:shd w:val="clear" w:color="auto" w:fill="auto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3093" w:type="dxa"/>
                  <w:textDirection w:val="lrTb"/>
                  <w:noWrap w:val="false"/>
                </w:tcPr>
                <w:p>
                  <w:pPr>
                    <w:rPr>
                      <w:sz w:val="20"/>
                      <w:szCs w:val="20"/>
                      <w:highlight w:val="none"/>
                    </w:rPr>
                  </w:pPr>
                  <w:r>
                    <w:rPr>
                      <w:sz w:val="20"/>
                      <w:szCs w:val="20"/>
                    </w:rPr>
                    <w:t xml:space="preserve">Модель,калибр:ИЖ-58,16 калибр</w:t>
                  </w:r>
                  <w:r>
                    <w:rPr>
                      <w:sz w:val="20"/>
                      <w:szCs w:val="20"/>
                      <w:highlight w:val="none"/>
                    </w:rPr>
                  </w:r>
                  <w:r>
                    <w:rPr>
                      <w:sz w:val="20"/>
                      <w:szCs w:val="20"/>
                      <w:highlight w:val="none"/>
                    </w:rPr>
                  </w:r>
                </w:p>
                <w:p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  <w:highlight w:val="none"/>
                    </w:rPr>
                    <w:t xml:space="preserve">Серия,номер,год выпуска (</w:t>
                  </w:r>
                  <w:r>
                    <w:rPr>
                      <w:sz w:val="20"/>
                      <w:szCs w:val="20"/>
                      <w:highlight w:val="none"/>
                    </w:rPr>
                    <w:t xml:space="preserve">M</w:t>
                  </w:r>
                  <w:r>
                    <w:rPr>
                      <w:sz w:val="20"/>
                      <w:szCs w:val="20"/>
                      <w:highlight w:val="none"/>
                    </w:rPr>
                    <w:t xml:space="preserve">N</w:t>
                  </w:r>
                  <w:r>
                    <w:rPr>
                      <w:sz w:val="20"/>
                      <w:szCs w:val="20"/>
                      <w:highlight w:val="none"/>
                    </w:rPr>
                    <w:t xml:space="preserve">o</w:t>
                  </w:r>
                  <w:r>
                    <w:rPr>
                      <w:sz w:val="20"/>
                      <w:szCs w:val="20"/>
                      <w:highlight w:val="none"/>
                    </w:rPr>
                    <w:t xml:space="preserve">.</w:t>
                  </w:r>
                  <w:r>
                    <w:rPr>
                      <w:sz w:val="20"/>
                      <w:szCs w:val="20"/>
                      <w:highlight w:val="none"/>
                    </w:rPr>
                    <w:t xml:space="preserve">2</w:t>
                  </w:r>
                  <w:r>
                    <w:rPr>
                      <w:sz w:val="20"/>
                      <w:szCs w:val="20"/>
                      <w:highlight w:val="none"/>
                    </w:rPr>
                    <w:t xml:space="preserve">1</w:t>
                  </w:r>
                  <w:r>
                    <w:rPr>
                      <w:sz w:val="20"/>
                      <w:szCs w:val="20"/>
                      <w:highlight w:val="none"/>
                    </w:rPr>
                    <w:t xml:space="preserve">2</w:t>
                  </w:r>
                  <w:r>
                    <w:rPr>
                      <w:sz w:val="20"/>
                      <w:szCs w:val="20"/>
                      <w:highlight w:val="none"/>
                    </w:rPr>
                    <w:t xml:space="preserve">5</w:t>
                  </w:r>
                  <w:r>
                    <w:rPr>
                      <w:sz w:val="20"/>
                      <w:szCs w:val="20"/>
                      <w:highlight w:val="none"/>
                    </w:rPr>
                    <w:t xml:space="preserve">2</w:t>
                  </w:r>
                  <w:r>
                    <w:rPr>
                      <w:sz w:val="20"/>
                      <w:szCs w:val="20"/>
                      <w:highlight w:val="none"/>
                    </w:rPr>
                    <w:t xml:space="preserve">)</w:t>
                  </w:r>
                  <w:r>
                    <w:rPr>
                      <w:sz w:val="20"/>
                      <w:szCs w:val="20"/>
                    </w:rPr>
                  </w:r>
                  <w:r>
                    <w:rPr>
                      <w:sz w:val="20"/>
                      <w:szCs w:val="20"/>
                    </w:rPr>
                  </w:r>
                </w:p>
                <w:p>
                  <w:pPr>
                    <w:pStyle w:val="622"/>
                    <w:jc w:val="center"/>
                  </w:pPr>
                  <w:r/>
                  <w:r/>
                </w:p>
              </w:tc>
              <w:tc>
                <w:tcPr>
                  <w:shd w:val="clear" w:color="auto" w:fill="auto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948" w:type="dxa"/>
                  <w:textDirection w:val="lrTb"/>
                  <w:noWrap w:val="false"/>
                </w:tcPr>
                <w:p>
                  <w:pPr>
                    <w:pStyle w:val="622"/>
                    <w:jc w:val="center"/>
                  </w:pPr>
                  <w:r>
                    <w:t xml:space="preserve">1</w:t>
                  </w:r>
                  <w:r/>
                </w:p>
              </w:tc>
              <w:tc>
                <w:tcPr>
                  <w:shd w:val="clear" w:color="auto" w:fill="auto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3059" w:type="dxa"/>
                  <w:textDirection w:val="lrTb"/>
                  <w:noWrap w:val="false"/>
                </w:tcPr>
                <w:p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</w:r>
                  <w:r>
                    <w:rPr>
                      <w:sz w:val="20"/>
                      <w:szCs w:val="20"/>
                    </w:rPr>
                    <w:t xml:space="preserve">10 000</w:t>
                  </w:r>
                  <w:r>
                    <w:rPr>
                      <w:sz w:val="20"/>
                      <w:szCs w:val="20"/>
                    </w:rPr>
                    <w:t xml:space="preserve"> </w:t>
                  </w:r>
                  <w:r>
                    <w:rPr>
                      <w:sz w:val="20"/>
                      <w:szCs w:val="20"/>
                    </w:rPr>
                  </w:r>
                  <w:r>
                    <w:rPr>
                      <w:sz w:val="20"/>
                      <w:szCs w:val="20"/>
                    </w:rPr>
                  </w:r>
                </w:p>
                <w:p>
                  <w:pPr>
                    <w:pStyle w:val="622"/>
                    <w:jc w:val="center"/>
                  </w:pPr>
                  <w:r/>
                  <w:r/>
                </w:p>
              </w:tc>
            </w:tr>
            <w:tr>
              <w:tblPrEx/>
              <w:trPr/>
              <w:tc>
                <w:tcPr>
                  <w:shd w:val="clear" w:color="ffffff" w:fill="ffffff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490" w:type="dxa"/>
                  <w:vMerge w:val="restart"/>
                  <w:textDirection w:val="lrTb"/>
                  <w:noWrap w:val="false"/>
                </w:tcPr>
                <w:p>
                  <w:pPr>
                    <w:pStyle w:val="636"/>
                    <w:numPr>
                      <w:ilvl w:val="0"/>
                      <w:numId w:val="1"/>
                    </w:numPr>
                    <w:jc w:val="center"/>
                  </w:pPr>
                  <w:r/>
                  <w:r/>
                </w:p>
              </w:tc>
              <w:tc>
                <w:tcPr>
                  <w:shd w:val="clear" w:color="ffffff" w:fill="ffffff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3093" w:type="dxa"/>
                  <w:vMerge w:val="restart"/>
                  <w:textDirection w:val="lrTb"/>
                  <w:noWrap w:val="false"/>
                </w:tcPr>
                <w:p>
                  <w:pPr>
                    <w:rPr>
                      <w:sz w:val="20"/>
                      <w:szCs w:val="20"/>
                      <w:highlight w:val="none"/>
                    </w:rPr>
                  </w:pPr>
                  <w:r>
                    <w:rPr>
                      <w:sz w:val="20"/>
                      <w:szCs w:val="20"/>
                    </w:rPr>
                    <w:t xml:space="preserve">Модель,калибр:ТОЗ -34,28/70 калибр</w:t>
                  </w:r>
                  <w:r>
                    <w:rPr>
                      <w:sz w:val="20"/>
                      <w:szCs w:val="20"/>
                      <w:highlight w:val="none"/>
                    </w:rPr>
                  </w:r>
                  <w:r>
                    <w:rPr>
                      <w:sz w:val="20"/>
                      <w:szCs w:val="20"/>
                      <w:highlight w:val="none"/>
                    </w:rPr>
                  </w:r>
                </w:p>
                <w:p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  <w:highlight w:val="none"/>
                    </w:rPr>
                    <w:t xml:space="preserve">Серия,номер,год выпуска (УИ</w:t>
                  </w:r>
                  <w:r>
                    <w:rPr>
                      <w:sz w:val="20"/>
                      <w:szCs w:val="20"/>
                      <w:highlight w:val="none"/>
                    </w:rPr>
                    <w:t xml:space="preserve">N</w:t>
                  </w:r>
                  <w:r>
                    <w:rPr>
                      <w:sz w:val="20"/>
                      <w:szCs w:val="20"/>
                      <w:highlight w:val="none"/>
                    </w:rPr>
                    <w:t xml:space="preserve">o</w:t>
                  </w:r>
                  <w:r>
                    <w:rPr>
                      <w:sz w:val="20"/>
                      <w:szCs w:val="20"/>
                      <w:highlight w:val="none"/>
                    </w:rPr>
                    <w:t xml:space="preserve">.</w:t>
                  </w:r>
                  <w:r>
                    <w:rPr>
                      <w:sz w:val="20"/>
                      <w:szCs w:val="20"/>
                      <w:highlight w:val="none"/>
                    </w:rPr>
                    <w:t xml:space="preserve">3032</w:t>
                  </w:r>
                  <w:r>
                    <w:rPr>
                      <w:sz w:val="20"/>
                      <w:szCs w:val="20"/>
                      <w:highlight w:val="none"/>
                    </w:rPr>
                    <w:t xml:space="preserve">)</w:t>
                  </w:r>
                  <w:r>
                    <w:rPr>
                      <w:sz w:val="20"/>
                      <w:szCs w:val="20"/>
                    </w:rPr>
                  </w:r>
                  <w:r>
                    <w:rPr>
                      <w:sz w:val="20"/>
                      <w:szCs w:val="20"/>
                    </w:rPr>
                  </w:r>
                </w:p>
                <w:p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</w:r>
                  <w:r>
                    <w:rPr>
                      <w:sz w:val="20"/>
                      <w:szCs w:val="20"/>
                    </w:rPr>
                  </w:r>
                </w:p>
              </w:tc>
              <w:tc>
                <w:tcPr>
                  <w:shd w:val="clear" w:color="ffffff" w:fill="ffffff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948" w:type="dxa"/>
                  <w:vMerge w:val="restart"/>
                  <w:textDirection w:val="lrTb"/>
                  <w:noWrap w:val="false"/>
                </w:tcPr>
                <w:p>
                  <w:pPr>
                    <w:pStyle w:val="622"/>
                    <w:jc w:val="center"/>
                  </w:pPr>
                  <w:r>
                    <w:t xml:space="preserve">2</w:t>
                  </w:r>
                  <w:r/>
                </w:p>
              </w:tc>
              <w:tc>
                <w:tcPr>
                  <w:shd w:val="clear" w:color="ffffff" w:fill="ffffff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3059" w:type="dxa"/>
                  <w:vMerge w:val="restart"/>
                  <w:textDirection w:val="lrTb"/>
                  <w:noWrap w:val="false"/>
                </w:tcPr>
                <w:p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</w:r>
                  <w:r>
                    <w:rPr>
                      <w:sz w:val="20"/>
                      <w:szCs w:val="20"/>
                    </w:rPr>
                    <w:t xml:space="preserve">18 500</w:t>
                  </w:r>
                  <w:r>
                    <w:rPr>
                      <w:sz w:val="20"/>
                      <w:szCs w:val="20"/>
                    </w:rPr>
                  </w:r>
                  <w:r>
                    <w:rPr>
                      <w:sz w:val="20"/>
                      <w:szCs w:val="20"/>
                    </w:rPr>
                  </w:r>
                </w:p>
                <w:p>
                  <w:pPr>
                    <w:pStyle w:val="622"/>
                    <w:jc w:val="center"/>
                  </w:pPr>
                  <w:r/>
                  <w:r/>
                </w:p>
              </w:tc>
            </w:tr>
            <w:tr>
              <w:tblPrEx/>
              <w:trPr/>
              <w:tc>
                <w:tcPr>
                  <w:shd w:val="clear" w:color="ffffff" w:fill="ffffff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490" w:type="dxa"/>
                  <w:vMerge w:val="restart"/>
                  <w:textDirection w:val="lrTb"/>
                  <w:noWrap w:val="false"/>
                </w:tcPr>
                <w:p>
                  <w:pPr>
                    <w:pStyle w:val="636"/>
                    <w:numPr>
                      <w:ilvl w:val="0"/>
                      <w:numId w:val="1"/>
                    </w:numPr>
                    <w:jc w:val="center"/>
                  </w:pPr>
                  <w:r/>
                  <w:r/>
                </w:p>
              </w:tc>
              <w:tc>
                <w:tcPr>
                  <w:shd w:val="clear" w:color="ffffff" w:fill="ffffff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3093" w:type="dxa"/>
                  <w:vMerge w:val="restart"/>
                  <w:textDirection w:val="lrTb"/>
                  <w:noWrap w:val="false"/>
                </w:tcPr>
                <w:p>
                  <w:pPr>
                    <w:rPr>
                      <w:sz w:val="20"/>
                      <w:szCs w:val="20"/>
                      <w:highlight w:val="none"/>
                    </w:rPr>
                  </w:pPr>
                  <w:r>
                    <w:rPr>
                      <w:sz w:val="20"/>
                      <w:szCs w:val="20"/>
                    </w:rPr>
                    <w:t xml:space="preserve">Модель,калибр:ИЖ - 27,16/70 калибр</w:t>
                  </w:r>
                  <w:r>
                    <w:rPr>
                      <w:sz w:val="20"/>
                      <w:szCs w:val="20"/>
                      <w:highlight w:val="none"/>
                    </w:rPr>
                  </w:r>
                  <w:r>
                    <w:rPr>
                      <w:sz w:val="20"/>
                      <w:szCs w:val="20"/>
                      <w:highlight w:val="none"/>
                    </w:rPr>
                  </w:r>
                </w:p>
                <w:p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  <w:highlight w:val="none"/>
                    </w:rPr>
                    <w:t xml:space="preserve">Серия,номер,год выпуска (М</w:t>
                  </w:r>
                  <w:r>
                    <w:rPr>
                      <w:sz w:val="20"/>
                      <w:szCs w:val="20"/>
                      <w:highlight w:val="none"/>
                    </w:rPr>
                    <w:t xml:space="preserve">N</w:t>
                  </w:r>
                  <w:r>
                    <w:rPr>
                      <w:sz w:val="20"/>
                      <w:szCs w:val="20"/>
                      <w:highlight w:val="none"/>
                    </w:rPr>
                    <w:t xml:space="preserve">o</w:t>
                  </w:r>
                  <w:r>
                    <w:rPr>
                      <w:sz w:val="20"/>
                      <w:szCs w:val="20"/>
                      <w:highlight w:val="none"/>
                    </w:rPr>
                    <w:t xml:space="preserve">.</w:t>
                  </w:r>
                  <w:r>
                    <w:rPr>
                      <w:sz w:val="20"/>
                      <w:szCs w:val="20"/>
                      <w:highlight w:val="none"/>
                    </w:rPr>
                    <w:t xml:space="preserve">05559</w:t>
                  </w:r>
                  <w:r>
                    <w:rPr>
                      <w:sz w:val="20"/>
                      <w:szCs w:val="20"/>
                      <w:highlight w:val="none"/>
                    </w:rPr>
                    <w:t xml:space="preserve">)</w:t>
                  </w:r>
                  <w:r>
                    <w:rPr>
                      <w:sz w:val="20"/>
                      <w:szCs w:val="20"/>
                    </w:rPr>
                  </w:r>
                  <w:r>
                    <w:rPr>
                      <w:sz w:val="20"/>
                      <w:szCs w:val="20"/>
                    </w:rPr>
                  </w:r>
                </w:p>
                <w:p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</w:r>
                  <w:r>
                    <w:rPr>
                      <w:sz w:val="20"/>
                      <w:szCs w:val="20"/>
                    </w:rPr>
                  </w:r>
                </w:p>
              </w:tc>
              <w:tc>
                <w:tcPr>
                  <w:shd w:val="clear" w:color="ffffff" w:fill="ffffff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948" w:type="dxa"/>
                  <w:vMerge w:val="restart"/>
                  <w:textDirection w:val="lrTb"/>
                  <w:noWrap w:val="false"/>
                </w:tcPr>
                <w:p>
                  <w:pPr>
                    <w:pStyle w:val="622"/>
                    <w:jc w:val="center"/>
                  </w:pPr>
                  <w:r>
                    <w:t xml:space="preserve">3</w:t>
                  </w:r>
                  <w:r/>
                </w:p>
              </w:tc>
              <w:tc>
                <w:tcPr>
                  <w:shd w:val="clear" w:color="ffffff" w:fill="ffffff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3059" w:type="dxa"/>
                  <w:vMerge w:val="restart"/>
                  <w:textDirection w:val="lrTb"/>
                  <w:noWrap w:val="false"/>
                </w:tcPr>
                <w:p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</w:r>
                  <w:r>
                    <w:t xml:space="preserve">22 166</w:t>
                  </w:r>
                  <w:r>
                    <w:rPr>
                      <w:sz w:val="20"/>
                      <w:szCs w:val="20"/>
                    </w:rPr>
                  </w:r>
                  <w:r>
                    <w:rPr>
                      <w:sz w:val="20"/>
                      <w:szCs w:val="20"/>
                    </w:rPr>
                  </w:r>
                </w:p>
                <w:p>
                  <w:pPr>
                    <w:pStyle w:val="622"/>
                    <w:jc w:val="center"/>
                  </w:pPr>
                  <w:r/>
                  <w:r/>
                </w:p>
              </w:tc>
            </w:tr>
          </w:tbl>
          <w:p>
            <w:pPr>
              <w:pStyle w:val="622"/>
            </w:pPr>
            <w:r>
              <w:t xml:space="preserve">Ознакомление с имуществом производится по адресу: </w:t>
            </w:r>
            <w:r/>
            <w:r>
              <w:t xml:space="preserve"> с.Шеломки, ул.50 лет ВЛКСМ д.17, ИНН 241001708889</w:t>
            </w:r>
            <w:r/>
            <w:r/>
            <w:r>
              <w:t xml:space="preserve">, с момента публикации сообщ</w:t>
            </w:r>
            <w:r>
              <w:t xml:space="preserve">ения о продаже имущества и до окончания приема заявок по предварительной записи по телефону:</w:t>
            </w:r>
            <w:r>
              <w:t xml:space="preserve"> </w:t>
            </w:r>
            <w:r/>
            <w:r>
              <w:t xml:space="preserve">+79969844090</w:t>
            </w:r>
            <w:r/>
            <w:r/>
          </w:p>
          <w:p>
            <w:pPr>
              <w:pStyle w:val="622"/>
            </w:pPr>
            <w:r/>
            <w:r/>
          </w:p>
        </w:tc>
      </w:tr>
      <w:tr>
        <w:tblPrEx/>
        <w:trPr/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0" w:type="dxa"/>
            <w:textDirection w:val="lrTb"/>
            <w:noWrap w:val="false"/>
          </w:tcPr>
          <w:p>
            <w:pPr>
              <w:pStyle w:val="622"/>
              <w:jc w:val="center"/>
            </w:pPr>
            <w:r>
              <w:t xml:space="preserve">2.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06" w:type="dxa"/>
            <w:textDirection w:val="lrTb"/>
            <w:noWrap w:val="false"/>
          </w:tcPr>
          <w:p>
            <w:pPr>
              <w:pStyle w:val="622"/>
            </w:pPr>
            <w:r>
              <w:t xml:space="preserve">Сроки продажи имущества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19" w:type="dxa"/>
            <w:textDirection w:val="lrTb"/>
            <w:noWrap w:val="false"/>
          </w:tcPr>
          <w:p>
            <w:pPr>
              <w:pStyle w:val="622"/>
            </w:pPr>
            <w:r>
              <w:t xml:space="preserve">Организовать продажу имущества в течение 10 со дня утверждения судом настоящего Положения.</w:t>
            </w:r>
            <w:r/>
          </w:p>
        </w:tc>
      </w:tr>
      <w:tr>
        <w:tblPrEx/>
        <w:trPr/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0" w:type="dxa"/>
            <w:textDirection w:val="lrTb"/>
            <w:noWrap w:val="false"/>
          </w:tcPr>
          <w:p>
            <w:pPr>
              <w:pStyle w:val="622"/>
              <w:jc w:val="center"/>
            </w:pPr>
            <w:r>
              <w:t xml:space="preserve">3.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06" w:type="dxa"/>
            <w:textDirection w:val="lrTb"/>
            <w:noWrap w:val="false"/>
          </w:tcPr>
          <w:p>
            <w:pPr>
              <w:pStyle w:val="622"/>
            </w:pPr>
            <w:r>
              <w:t xml:space="preserve">Организатор торгов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19" w:type="dxa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t xml:space="preserve">Финансовый управляющий </w:t>
            </w:r>
            <w:r/>
            <w:r>
              <w:rPr>
                <w:b w:val="0"/>
                <w:bCs w:val="0"/>
                <w:sz w:val="20"/>
                <w:szCs w:val="20"/>
                <w:lang w:val="en-US"/>
              </w:rPr>
              <w:t xml:space="preserve">Тарасова Виктора</w:t>
            </w:r>
            <w:r>
              <w:rPr>
                <w:b w:val="0"/>
                <w:bCs w:val="0"/>
                <w:sz w:val="20"/>
                <w:szCs w:val="20"/>
                <w:lang w:val="en-US"/>
              </w:rPr>
              <w:t xml:space="preserve"> </w:t>
            </w:r>
            <w:r>
              <w:rPr>
                <w:b w:val="0"/>
                <w:bCs w:val="0"/>
                <w:sz w:val="20"/>
                <w:szCs w:val="20"/>
                <w:lang w:val="en-US"/>
              </w:rPr>
              <w:t xml:space="preserve">Игоревича </w:t>
            </w:r>
            <w:r>
              <w:t xml:space="preserve">Косточкина Мария Васильевна</w:t>
            </w:r>
            <w:r>
              <w:t xml:space="preserve">, </w:t>
            </w:r>
            <w:r>
              <w:t xml:space="preserve">действующий на основании решения Арбитражного суда </w:t>
            </w:r>
            <w:r>
              <w:rPr>
                <w:b w:val="0"/>
                <w:bCs w:val="0"/>
                <w:sz w:val="20"/>
                <w:szCs w:val="20"/>
              </w:rPr>
              <w:t xml:space="preserve">Красноярского края</w:t>
            </w:r>
            <w:r/>
            <w:r>
              <w:t xml:space="preserve"> от </w:t>
            </w:r>
            <w:r>
              <w:t xml:space="preserve">07.05.2026 г. </w:t>
            </w:r>
            <w:r/>
            <w:r>
              <w:t xml:space="preserve">. по делу </w:t>
            </w:r>
            <w:r/>
            <w:r>
              <w:rPr>
                <w:sz w:val="20"/>
                <w:szCs w:val="20"/>
              </w:rPr>
            </w:r>
            <w:r>
              <w:rPr>
                <w:b/>
                <w:bCs/>
                <w:sz w:val="20"/>
                <w:szCs w:val="20"/>
              </w:rPr>
              <w:t xml:space="preserve">А33-9528/2026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/>
            <w:r/>
            <w:r/>
            <w:r>
              <w:rPr>
                <w:sz w:val="20"/>
                <w:szCs w:val="20"/>
              </w:rPr>
            </w:r>
          </w:p>
          <w:p>
            <w:pPr>
              <w:pStyle w:val="622"/>
            </w:pPr>
            <w:r>
              <w:t xml:space="preserve">Организатор торгов выполняет следующие функции:</w:t>
            </w:r>
            <w:r/>
            <w:r/>
          </w:p>
          <w:p>
            <w:pPr>
              <w:pStyle w:val="622"/>
            </w:pPr>
            <w:r>
              <w:t xml:space="preserve">- опубликовывает и размещает сообщение о продаже имущества и сообщение о результатах проведения торгов;</w:t>
            </w:r>
            <w:r/>
            <w:r/>
          </w:p>
          <w:p>
            <w:pPr>
              <w:pStyle w:val="622"/>
            </w:pPr>
            <w:r>
              <w:t xml:space="preserve">- определяет участников торгов;</w:t>
            </w:r>
            <w:r/>
            <w:r/>
          </w:p>
          <w:p>
            <w:pPr>
              <w:pStyle w:val="622"/>
            </w:pPr>
            <w:r>
              <w:t xml:space="preserve">- определяет победителя торгов и подписывает протокол о результатах проведения торгов;</w:t>
            </w:r>
            <w:r/>
            <w:r/>
          </w:p>
          <w:p>
            <w:pPr>
              <w:pStyle w:val="622"/>
              <w:rPr>
                <w:lang w:val="en-US"/>
              </w:rPr>
            </w:pPr>
            <w:r>
              <w:t xml:space="preserve">- уведомл</w:t>
            </w:r>
            <w:r>
              <w:t xml:space="preserve">яет заявителей и участников торгов</w:t>
            </w:r>
            <w:r>
              <w:t xml:space="preserve"> о результатах проведения торгов.</w:t>
            </w:r>
            <w:r>
              <w:rPr>
                <w:lang w:val="en-US"/>
              </w:rPr>
            </w:r>
            <w:r>
              <w:rPr>
                <w:lang w:val="en-US"/>
              </w:rPr>
            </w:r>
          </w:p>
          <w:p>
            <w:pPr>
              <w:pStyle w:val="622"/>
            </w:pPr>
            <w:r>
              <w:t xml:space="preserve">Сведения об организаторе торгов:</w:t>
            </w:r>
            <w:r/>
            <w:r/>
          </w:p>
          <w:p>
            <w:pPr>
              <w:pStyle w:val="622"/>
            </w:pPr>
            <w:r>
              <w:t xml:space="preserve">- почтовый адрес:</w:t>
            </w:r>
            <w:r>
              <w:t xml:space="preserve"> </w:t>
            </w:r>
            <w:r>
              <w:t xml:space="preserve">163046, обл Архангельская, г Архангельск, ул Воскресенская, д 59, этаж 2</w:t>
            </w:r>
            <w:r/>
            <w:r/>
          </w:p>
          <w:p>
            <w:pPr>
              <w:pStyle w:val="622"/>
            </w:pPr>
            <w:r>
              <w:t xml:space="preserve">- адрес электронной почты:</w:t>
            </w:r>
            <w:r>
              <w:t xml:space="preserve"> </w:t>
            </w:r>
            <w:r/>
            <w:r>
              <w:t xml:space="preserve">mkostochkina00@mail.ru </w:t>
            </w:r>
            <w:r/>
            <w:r/>
          </w:p>
          <w:p>
            <w:pPr>
              <w:pStyle w:val="622"/>
            </w:pPr>
            <w:r>
              <w:t xml:space="preserve">- контактный номер: </w:t>
            </w:r>
            <w:r/>
            <w:r>
              <w:t xml:space="preserve">+79969844090</w:t>
            </w:r>
            <w:r/>
            <w:r/>
          </w:p>
          <w:p>
            <w:pPr>
              <w:pStyle w:val="622"/>
            </w:pPr>
            <w:r/>
          </w:p>
        </w:tc>
      </w:tr>
      <w:tr>
        <w:tblPrEx/>
        <w:trPr/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0" w:type="dxa"/>
            <w:textDirection w:val="lrTb"/>
            <w:noWrap w:val="false"/>
          </w:tcPr>
          <w:p>
            <w:pPr>
              <w:pStyle w:val="622"/>
              <w:jc w:val="center"/>
            </w:pPr>
            <w:r>
              <w:t xml:space="preserve">4.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06" w:type="dxa"/>
            <w:textDirection w:val="lrTb"/>
            <w:noWrap w:val="false"/>
          </w:tcPr>
          <w:p>
            <w:pPr>
              <w:pStyle w:val="622"/>
            </w:pPr>
            <w:r>
              <w:t xml:space="preserve">Форма торгов и форма представления предложений о цене имущества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19" w:type="dxa"/>
            <w:textDirection w:val="lrTb"/>
            <w:noWrap w:val="false"/>
          </w:tcPr>
          <w:p>
            <w:pPr>
              <w:pStyle w:val="622"/>
            </w:pPr>
            <w:r>
              <w:t xml:space="preserve">Продажа имущества должника осуществляется путем проведения открытых торгов в форме аукциона с открытой формой представления предложений о цене имущества.</w:t>
            </w:r>
            <w:r/>
          </w:p>
        </w:tc>
      </w:tr>
      <w:tr>
        <w:tblPrEx/>
        <w:trPr/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0" w:type="dxa"/>
            <w:textDirection w:val="lrTb"/>
            <w:noWrap w:val="false"/>
          </w:tcPr>
          <w:p>
            <w:pPr>
              <w:pStyle w:val="622"/>
              <w:jc w:val="center"/>
            </w:pPr>
            <w:r>
              <w:t xml:space="preserve">5.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06" w:type="dxa"/>
            <w:textDirection w:val="lrTb"/>
            <w:noWrap w:val="false"/>
          </w:tcPr>
          <w:p>
            <w:pPr>
              <w:pStyle w:val="622"/>
            </w:pPr>
            <w:r>
              <w:t xml:space="preserve">Место проведения торгов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19" w:type="dxa"/>
            <w:textDirection w:val="lrTb"/>
            <w:noWrap w:val="false"/>
          </w:tcPr>
          <w:p>
            <w:pPr>
              <w:pStyle w:val="622"/>
            </w:pPr>
            <w:r>
              <w:t xml:space="preserve">Торги проводятся в электронной форме на </w:t>
            </w:r>
            <w:r>
              <w:t xml:space="preserve">электронной </w:t>
            </w:r>
            <w:r>
              <w:t xml:space="preserve">площадке «АукционПРО», размещенной на сайте </w:t>
            </w:r>
            <w:hyperlink r:id="rId9" w:tooltip="https://au" w:history="1">
              <w:r>
                <w:rPr>
                  <w:rStyle w:val="624"/>
                </w:rPr>
                <w:t xml:space="preserve">https://</w:t>
              </w:r>
              <w:r>
                <w:rPr>
                  <w:rStyle w:val="624"/>
                </w:rPr>
                <w:t xml:space="preserve">a</w:t>
              </w:r>
              <w:r>
                <w:rPr>
                  <w:rStyle w:val="624"/>
                </w:rPr>
                <w:t xml:space="preserve">u</w:t>
              </w:r>
              <w:r>
                <w:rPr>
                  <w:rStyle w:val="624"/>
                </w:rPr>
              </w:r>
            </w:hyperlink>
            <w:r>
              <w:t xml:space="preserve">-</w:t>
            </w:r>
            <w:r>
              <w:t xml:space="preserve">p</w:t>
            </w:r>
            <w:r>
              <w:t xml:space="preserve">r</w:t>
            </w:r>
            <w:r>
              <w:t xml:space="preserve">o</w:t>
            </w:r>
            <w:r>
              <w:t xml:space="preserve">.ru/ в сети Интернет.</w:t>
            </w:r>
            <w:r/>
            <w:r/>
          </w:p>
          <w:p>
            <w:pPr>
              <w:pStyle w:val="622"/>
            </w:pPr>
            <w:r/>
            <w:r/>
          </w:p>
        </w:tc>
      </w:tr>
      <w:tr>
        <w:tblPrEx/>
        <w:trPr/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0" w:type="dxa"/>
            <w:textDirection w:val="lrTb"/>
            <w:noWrap w:val="false"/>
          </w:tcPr>
          <w:p>
            <w:pPr>
              <w:pStyle w:val="622"/>
              <w:jc w:val="center"/>
            </w:pPr>
            <w:r>
              <w:t xml:space="preserve">6.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06" w:type="dxa"/>
            <w:textDirection w:val="lrTb"/>
            <w:noWrap w:val="false"/>
          </w:tcPr>
          <w:p>
            <w:pPr>
              <w:pStyle w:val="622"/>
            </w:pPr>
            <w:r>
              <w:t xml:space="preserve">Размер задатка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19" w:type="dxa"/>
            <w:textDirection w:val="lrTb"/>
            <w:noWrap w:val="false"/>
          </w:tcPr>
          <w:p>
            <w:pPr>
              <w:pStyle w:val="622"/>
            </w:pPr>
            <w:r>
              <w:t xml:space="preserve">Лот № 1</w:t>
            </w:r>
            <w:r>
              <w:t xml:space="preserve">,</w:t>
            </w:r>
            <w:r>
              <w:t xml:space="preserve">2</w:t>
            </w:r>
            <w:r>
              <w:t xml:space="preserve">,</w:t>
            </w:r>
            <w:r>
              <w:t xml:space="preserve">3</w:t>
            </w:r>
            <w:r>
              <w:t xml:space="preserve">:</w:t>
            </w:r>
            <w:r>
              <w:t xml:space="preserve"> </w:t>
            </w:r>
            <w:r/>
            <w:r>
              <w:t xml:space="preserve">10 %</w:t>
            </w:r>
            <w:r/>
            <w:r/>
            <w:r>
              <w:t xml:space="preserve">от начальной цены.</w:t>
            </w:r>
            <w:r/>
          </w:p>
        </w:tc>
      </w:tr>
      <w:tr>
        <w:tblPrEx/>
        <w:trPr/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0" w:type="dxa"/>
            <w:textDirection w:val="lrTb"/>
            <w:noWrap w:val="false"/>
          </w:tcPr>
          <w:p>
            <w:pPr>
              <w:pStyle w:val="622"/>
              <w:jc w:val="center"/>
            </w:pPr>
            <w:r>
              <w:t xml:space="preserve">7.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06" w:type="dxa"/>
            <w:textDirection w:val="lrTb"/>
            <w:noWrap w:val="false"/>
          </w:tcPr>
          <w:p>
            <w:pPr>
              <w:pStyle w:val="622"/>
            </w:pPr>
            <w:r>
              <w:t xml:space="preserve">Срок и порядок внесения задатка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19" w:type="dxa"/>
            <w:textDirection w:val="lrTb"/>
            <w:noWrap w:val="false"/>
          </w:tcPr>
          <w:p>
            <w:pPr>
              <w:pStyle w:val="622"/>
            </w:pPr>
            <w:r>
              <w:t xml:space="preserve">1. Срок внесения задатка - </w:t>
            </w:r>
            <w:r>
              <w:t xml:space="preserve">не позднее даты окончания срока приема заявок</w:t>
            </w:r>
            <w:r>
              <w:t xml:space="preserve"> на участие в торгах</w:t>
            </w:r>
            <w:r>
              <w:t xml:space="preserve">. </w:t>
            </w:r>
            <w:r/>
          </w:p>
          <w:p>
            <w:pPr>
              <w:pStyle w:val="622"/>
            </w:pPr>
            <w:r>
              <w:t xml:space="preserve">2. Внесение задатка осуществляется по следующим реквизитам: </w:t>
            </w:r>
            <w:r/>
          </w:p>
          <w:p>
            <w:pPr>
              <w:pStyle w:val="622"/>
            </w:pPr>
            <w:r/>
            <w:r>
              <w:t xml:space="preserve">Валюта получаемого перевода: Российский рубль (RUB)</w:t>
              <w:br/>
              <w:t xml:space="preserve">Получатель: Тарасов Виктор Игоревич</w:t>
              <w:br/>
              <w:t xml:space="preserve">Номер счёта: 40817810250224671336 (Задатковый)</w:t>
              <w:br/>
              <w:t xml:space="preserve">Банк получателя: ФИЛИАЛ "ЦЕНТРАЛЬНЫЙ" ПАО "СОВКОМБАНК"</w:t>
              <w:br/>
              <w:t xml:space="preserve">БИК: 045004763</w:t>
              <w:br/>
              <w:t xml:space="preserve">Корр. счёт: 30101810150040000763</w:t>
              <w:br/>
              <w:t xml:space="preserve">ИНН: 4401116480</w:t>
              <w:br/>
              <w:t xml:space="preserve">КП</w:t>
            </w:r>
            <w:r>
              <w:t xml:space="preserve">П: 544543001</w:t>
            </w:r>
            <w:r/>
          </w:p>
        </w:tc>
      </w:tr>
      <w:tr>
        <w:tblPrEx/>
        <w:trPr/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0" w:type="dxa"/>
            <w:textDirection w:val="lrTb"/>
            <w:noWrap w:val="false"/>
          </w:tcPr>
          <w:p>
            <w:pPr>
              <w:pStyle w:val="622"/>
              <w:jc w:val="center"/>
            </w:pPr>
            <w:r>
              <w:t xml:space="preserve">8.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06" w:type="dxa"/>
            <w:textDirection w:val="lrTb"/>
            <w:noWrap w:val="false"/>
          </w:tcPr>
          <w:p>
            <w:pPr>
              <w:pStyle w:val="622"/>
            </w:pPr>
            <w:r>
              <w:t xml:space="preserve">Шаг аукциона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19" w:type="dxa"/>
            <w:textDirection w:val="lrTb"/>
            <w:noWrap w:val="false"/>
          </w:tcPr>
          <w:p>
            <w:pPr>
              <w:pStyle w:val="622"/>
            </w:pPr>
            <w:r>
              <w:t xml:space="preserve">Лот № 1</w:t>
            </w:r>
            <w:r>
              <w:t xml:space="preserve">,</w:t>
            </w:r>
            <w:r>
              <w:t xml:space="preserve">2</w:t>
            </w:r>
            <w:r>
              <w:t xml:space="preserve">,</w:t>
            </w:r>
            <w:r>
              <w:t xml:space="preserve">3</w:t>
            </w:r>
            <w:r>
              <w:t xml:space="preserve">:</w:t>
            </w:r>
            <w:r>
              <w:t xml:space="preserve"> </w:t>
            </w:r>
            <w:r>
              <w:t xml:space="preserve">10 %</w:t>
            </w:r>
            <w:r>
              <w:t xml:space="preserve">от начальной цены.</w:t>
            </w:r>
            <w:r/>
            <w:r/>
          </w:p>
          <w:p>
            <w:pPr>
              <w:pStyle w:val="622"/>
            </w:pPr>
            <w:r/>
            <w:r/>
          </w:p>
        </w:tc>
      </w:tr>
      <w:tr>
        <w:tblPrEx/>
        <w:trPr/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0" w:type="dxa"/>
            <w:textDirection w:val="lrTb"/>
            <w:noWrap w:val="false"/>
          </w:tcPr>
          <w:p>
            <w:pPr>
              <w:pStyle w:val="622"/>
              <w:jc w:val="center"/>
            </w:pPr>
            <w:r>
              <w:t xml:space="preserve">9.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06" w:type="dxa"/>
            <w:textDirection w:val="lrTb"/>
            <w:noWrap w:val="false"/>
          </w:tcPr>
          <w:p>
            <w:pPr>
              <w:pStyle w:val="622"/>
            </w:pPr>
            <w:r>
              <w:t xml:space="preserve">Сообщение о продаже имущества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19" w:type="dxa"/>
            <w:textDirection w:val="lrTb"/>
            <w:noWrap w:val="false"/>
          </w:tcPr>
          <w:p>
            <w:pPr>
              <w:pStyle w:val="622"/>
              <w:rPr>
                <w14:ligatures w14:val="none"/>
              </w:rPr>
            </w:pPr>
            <w:r>
              <w:t xml:space="preserve">Сообщение о продаже имущества публикуется в газете «Коммерсантъ», а также размещается на Едином федеральном реестре сведен</w:t>
            </w:r>
            <w:r>
              <w:t xml:space="preserve">ий о банкротстве не позднее, чем за 30 дней до даты проведения торгов</w:t>
            </w:r>
            <w:r>
              <w:t xml:space="preserve">.</w:t>
            </w:r>
            <w:r>
              <w:rPr>
                <w14:ligatures w14:val="none"/>
              </w:rPr>
            </w:r>
            <w:r>
              <w:rPr>
                <w14:ligatures w14:val="none"/>
              </w:rPr>
            </w:r>
          </w:p>
          <w:p>
            <w:pPr>
              <w:pStyle w:val="622"/>
              <w:rPr>
                <w14:ligatures w14:val="none"/>
              </w:rPr>
            </w:pPr>
            <w:r>
              <w:t xml:space="preserve">Текст сообщения должен содержать следующие сведения:</w:t>
            </w:r>
            <w:r>
              <w:rPr>
                <w14:ligatures w14:val="none"/>
              </w:rPr>
            </w:r>
            <w:r>
              <w:rPr>
                <w14:ligatures w14:val="none"/>
              </w:rPr>
            </w:r>
          </w:p>
          <w:p>
            <w:pPr>
              <w:pStyle w:val="622"/>
              <w:rPr>
                <w14:ligatures w14:val="none"/>
              </w:rPr>
            </w:pPr>
            <w:r>
              <w:t xml:space="preserve">сведения об имуществе, его составе, характеристиках, описание имущества, порядок ознакомления с имуществом;</w:t>
            </w:r>
            <w:r>
              <w:rPr>
                <w14:ligatures w14:val="none"/>
              </w:rPr>
            </w:r>
            <w:r>
              <w:rPr>
                <w14:ligatures w14:val="none"/>
              </w:rPr>
            </w:r>
          </w:p>
          <w:p>
            <w:pPr>
              <w:pStyle w:val="622"/>
              <w:rPr>
                <w14:ligatures w14:val="none"/>
              </w:rPr>
            </w:pPr>
            <w:r>
              <w:t xml:space="preserve">сведения о форме проведения торгов и форме представления предложений о цене имущества;</w:t>
            </w:r>
            <w:r>
              <w:rPr>
                <w14:ligatures w14:val="none"/>
              </w:rPr>
            </w:r>
            <w:r>
              <w:rPr>
                <w14:ligatures w14:val="none"/>
              </w:rPr>
            </w:r>
          </w:p>
          <w:p>
            <w:pPr>
              <w:pStyle w:val="622"/>
              <w:rPr>
                <w14:ligatures w14:val="none"/>
              </w:rPr>
            </w:pPr>
            <w:r>
              <w:t xml:space="preserve">порядок, место, срок и время представления заявок на участие в торгах и</w:t>
            </w:r>
            <w:r>
              <w:t xml:space="preserve"> предложений о цене имущества (даты и время начала и окончания представления указанных заявок, дата и время начала предста</w:t>
            </w:r>
            <w:r>
              <w:t xml:space="preserve">вления указанных предложений); </w:t>
            </w:r>
            <w:r>
              <w:rPr>
                <w14:ligatures w14:val="none"/>
              </w:rPr>
            </w:r>
            <w:r>
              <w:rPr>
                <w14:ligatures w14:val="none"/>
              </w:rPr>
            </w:r>
          </w:p>
          <w:p>
            <w:pPr>
              <w:pStyle w:val="622"/>
              <w:rPr>
                <w14:ligatures w14:val="none"/>
              </w:rPr>
            </w:pPr>
            <w:r>
              <w:t xml:space="preserve">порядок оформления участия в торгах, перечень представляемых участниками торгов документов и требования к их оформлению;</w:t>
            </w:r>
            <w:r>
              <w:rPr>
                <w14:ligatures w14:val="none"/>
              </w:rPr>
            </w:r>
            <w:r>
              <w:rPr>
                <w14:ligatures w14:val="none"/>
              </w:rPr>
            </w:r>
          </w:p>
          <w:p>
            <w:pPr>
              <w:pStyle w:val="622"/>
              <w:rPr>
                <w14:ligatures w14:val="none"/>
              </w:rPr>
            </w:pPr>
            <w:r>
              <w:t xml:space="preserve">размер задатка, сроки и порядок внесения задатка, реквизиты счетов, на которые вноси</w:t>
            </w:r>
            <w:r>
              <w:t xml:space="preserve">тся задаток;</w:t>
            </w:r>
            <w:r>
              <w:rPr>
                <w14:ligatures w14:val="none"/>
              </w:rPr>
            </w:r>
            <w:r>
              <w:rPr>
                <w14:ligatures w14:val="none"/>
              </w:rPr>
            </w:r>
          </w:p>
          <w:p>
            <w:pPr>
              <w:pStyle w:val="622"/>
              <w:rPr>
                <w14:ligatures w14:val="none"/>
              </w:rPr>
            </w:pPr>
            <w:r>
              <w:t xml:space="preserve">начальная цена продажи имущества;</w:t>
            </w:r>
            <w:r>
              <w:rPr>
                <w14:ligatures w14:val="none"/>
              </w:rPr>
            </w:r>
            <w:r>
              <w:rPr>
                <w14:ligatures w14:val="none"/>
              </w:rPr>
            </w:r>
          </w:p>
          <w:p>
            <w:pPr>
              <w:pStyle w:val="622"/>
              <w:rPr>
                <w14:ligatures w14:val="none"/>
              </w:rPr>
            </w:pPr>
            <w:r>
              <w:t xml:space="preserve">величина повышения начальной цены продажи имущества ("шаг аукциона");</w:t>
            </w:r>
            <w:r>
              <w:rPr>
                <w14:ligatures w14:val="none"/>
              </w:rPr>
            </w:r>
            <w:r>
              <w:rPr>
                <w14:ligatures w14:val="none"/>
              </w:rPr>
            </w:r>
          </w:p>
          <w:p>
            <w:pPr>
              <w:pStyle w:val="622"/>
              <w:rPr>
                <w14:ligatures w14:val="none"/>
              </w:rPr>
            </w:pPr>
            <w:r>
              <w:t xml:space="preserve">порядок и критерии выявления победит</w:t>
            </w:r>
            <w:r>
              <w:t xml:space="preserve">еля торгов;</w:t>
            </w:r>
            <w:r>
              <w:rPr>
                <w14:ligatures w14:val="none"/>
              </w:rPr>
            </w:r>
            <w:r>
              <w:rPr>
                <w14:ligatures w14:val="none"/>
              </w:rPr>
            </w:r>
          </w:p>
          <w:p>
            <w:pPr>
              <w:pStyle w:val="622"/>
              <w:rPr>
                <w14:ligatures w14:val="none"/>
              </w:rPr>
            </w:pPr>
            <w:r>
              <w:t xml:space="preserve">дата, время и место подведения результатов торгов;</w:t>
            </w:r>
            <w:r>
              <w:rPr>
                <w14:ligatures w14:val="none"/>
              </w:rPr>
            </w:r>
            <w:r>
              <w:rPr>
                <w14:ligatures w14:val="none"/>
              </w:rPr>
            </w:r>
          </w:p>
          <w:p>
            <w:pPr>
              <w:pStyle w:val="622"/>
              <w:rPr>
                <w14:ligatures w14:val="none"/>
              </w:rPr>
            </w:pPr>
            <w:r>
              <w:t xml:space="preserve">порядок и срок заключения договора купли-продажи имущества;</w:t>
            </w:r>
            <w:r>
              <w:rPr>
                <w14:ligatures w14:val="none"/>
              </w:rPr>
            </w:r>
            <w:r>
              <w:rPr>
                <w14:ligatures w14:val="none"/>
              </w:rPr>
            </w:r>
          </w:p>
          <w:p>
            <w:pPr>
              <w:pStyle w:val="622"/>
              <w:rPr>
                <w14:ligatures w14:val="none"/>
              </w:rPr>
            </w:pPr>
            <w:r>
              <w:t xml:space="preserve">сроки платежей, реквизиты счетов, на которые вносятся платежи;</w:t>
            </w:r>
            <w:r>
              <w:rPr>
                <w14:ligatures w14:val="none"/>
              </w:rPr>
            </w:r>
            <w:r>
              <w:rPr>
                <w14:ligatures w14:val="none"/>
              </w:rPr>
            </w:r>
          </w:p>
          <w:p>
            <w:pPr>
              <w:pStyle w:val="622"/>
              <w:rPr>
                <w14:ligatures w14:val="none"/>
              </w:rPr>
            </w:pPr>
            <w:r>
              <w:t xml:space="preserve">сведения об организаторе торгов, его почтовый адрес, адрес электронной почты, номер контактного телефона.</w:t>
            </w:r>
            <w:r>
              <w:rPr>
                <w14:ligatures w14:val="none"/>
              </w:rPr>
            </w:r>
            <w:r>
              <w:rPr>
                <w14:ligatures w14:val="none"/>
              </w:rPr>
            </w:r>
          </w:p>
          <w:p>
            <w:pPr>
              <w:pStyle w:val="622"/>
            </w:pPr>
            <w:r/>
          </w:p>
        </w:tc>
      </w:tr>
      <w:tr>
        <w:tblPrEx/>
        <w:trPr/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0" w:type="dxa"/>
            <w:textDirection w:val="lrTb"/>
            <w:noWrap w:val="false"/>
          </w:tcPr>
          <w:p>
            <w:pPr>
              <w:pStyle w:val="622"/>
              <w:jc w:val="center"/>
            </w:pPr>
            <w:r>
              <w:t xml:space="preserve">10.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06" w:type="dxa"/>
            <w:textDirection w:val="lrTb"/>
            <w:noWrap w:val="false"/>
          </w:tcPr>
          <w:p>
            <w:pPr>
              <w:pStyle w:val="622"/>
            </w:pPr>
            <w:r>
              <w:t xml:space="preserve">Заявка на участие в торгах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19" w:type="dxa"/>
            <w:textDirection w:val="lrTb"/>
            <w:noWrap w:val="false"/>
          </w:tcPr>
          <w:p>
            <w:pPr>
              <w:pStyle w:val="622"/>
            </w:pPr>
            <w:r>
              <w:t xml:space="preserve">Заявка на участие в торгах направляется, лицом, зарегистрированным на ЭП, с помощью программно-аппаратных средств сайта ЭП, в форме электронного сообщения, подписанного квалифицированной электронной подписью заявителя.</w:t>
            </w:r>
            <w:r/>
          </w:p>
          <w:p>
            <w:pPr>
              <w:pStyle w:val="622"/>
            </w:pPr>
            <w:r>
              <w:t xml:space="preserve">Заявка на участие в торгах должна содержать следующие сведения:</w:t>
            </w:r>
            <w:r/>
          </w:p>
          <w:p>
            <w:pPr>
              <w:pStyle w:val="622"/>
            </w:pPr>
            <w:r>
              <w:t xml:space="preserve">1) наименование, организационно-правовую форму, место нахождения, почтовый адрес заявителя (для юридического лица), фамилию, имя, отчество, паспортные данные, сведения о месте жительства заявителя (для физического лица);</w:t>
            </w:r>
            <w:r/>
          </w:p>
          <w:p>
            <w:pPr>
              <w:pStyle w:val="622"/>
            </w:pPr>
            <w:r>
              <w:t xml:space="preserve">2) номер контактного телефона, адрес электронной почты заявителя;</w:t>
            </w:r>
            <w:r/>
          </w:p>
          <w:p>
            <w:pPr>
              <w:pStyle w:val="622"/>
            </w:pPr>
            <w:r>
              <w:t xml:space="preserve">3) сведения о наличии или об отсутствии заинтересованности заявителя по отношению к должнику, кредиторам, арбит</w:t>
            </w:r>
            <w:r>
              <w:t xml:space="preserve">ражному управляющему и о характере этой заинтересованности, сведения об участии в капитале заявителя арбитражного управляющего, а также саморегулируемой организации арбитражных управляющих, членом или руководителем которой является арбитражный управляющий.</w:t>
            </w:r>
            <w:r/>
          </w:p>
        </w:tc>
      </w:tr>
      <w:tr>
        <w:tblPrEx/>
        <w:trPr/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0" w:type="dxa"/>
            <w:textDirection w:val="lrTb"/>
            <w:noWrap w:val="false"/>
          </w:tcPr>
          <w:p>
            <w:pPr>
              <w:pStyle w:val="622"/>
              <w:jc w:val="center"/>
            </w:pPr>
            <w:r>
              <w:t xml:space="preserve">11.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06" w:type="dxa"/>
            <w:textDirection w:val="lrTb"/>
            <w:noWrap w:val="false"/>
          </w:tcPr>
          <w:p>
            <w:pPr>
              <w:pStyle w:val="622"/>
            </w:pPr>
            <w:r>
              <w:t xml:space="preserve">Срок представления заявок на участие в торгах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19" w:type="dxa"/>
            <w:textDirection w:val="lrTb"/>
            <w:noWrap w:val="false"/>
          </w:tcPr>
          <w:p>
            <w:pPr>
              <w:pStyle w:val="622"/>
            </w:pPr>
            <w:r>
              <w:t xml:space="preserve">Срок представления заявок на участие в открытых торгах составляет 25 рабочих дней со дня опубликования и размещения сообщения о проведении торгов.</w:t>
            </w:r>
            <w:r/>
          </w:p>
        </w:tc>
      </w:tr>
      <w:tr>
        <w:tblPrEx/>
        <w:trPr/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0" w:type="dxa"/>
            <w:textDirection w:val="lrTb"/>
            <w:noWrap w:val="false"/>
          </w:tcPr>
          <w:p>
            <w:pPr>
              <w:pStyle w:val="622"/>
              <w:jc w:val="center"/>
            </w:pPr>
            <w:r>
              <w:t xml:space="preserve">12.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06" w:type="dxa"/>
            <w:textDirection w:val="lrTb"/>
            <w:noWrap w:val="false"/>
          </w:tcPr>
          <w:p>
            <w:pPr>
              <w:pStyle w:val="622"/>
            </w:pPr>
            <w:r>
              <w:t xml:space="preserve">Определение участников торгов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19" w:type="dxa"/>
            <w:textDirection w:val="lrTb"/>
            <w:noWrap w:val="false"/>
          </w:tcPr>
          <w:p>
            <w:pPr>
              <w:pStyle w:val="63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 участию в торгах допускаются лица, своевременно подавшие заявку на участие в торгах и обеспечившие поступление задатка на счет до даты составления протокола об определении участников торгов. </w:t>
            </w:r>
            <w:r>
              <w:rPr>
                <w:sz w:val="20"/>
                <w:szCs w:val="20"/>
              </w:rPr>
            </w:r>
          </w:p>
          <w:p>
            <w:pPr>
              <w:pStyle w:val="63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Протокол об определении участников торгов оформляется не позднее пяти календарных дней после окончания срока представления заявок на участие в торгах. </w:t>
            </w:r>
            <w:r>
              <w:rPr>
                <w:sz w:val="20"/>
                <w:szCs w:val="20"/>
              </w:rPr>
            </w:r>
          </w:p>
          <w:p>
            <w:pPr>
              <w:pStyle w:val="622"/>
            </w:pPr>
            <w:r>
              <w:t xml:space="preserve">В течение пяти календ</w:t>
            </w:r>
            <w:r>
              <w:t xml:space="preserve">арных дней со дня подписания протокола об определении участников торгов организатор торгов посредством программно-аппаратных средств сайта ЭП направляет каждому заявителю, чья заявка зарегистрирована в журнале заявок на участие в торгах и не отозвана до ок</w:t>
            </w:r>
            <w:r>
              <w:t xml:space="preserve">ончания срока представления заявок на участие в торгах, электронное сообщение о признании заявителя участником торгов или об отказе в признании его участником торгов с указанием причин отказа с приложением копии протокола об определении участников торгов. </w:t>
            </w:r>
            <w:r/>
          </w:p>
        </w:tc>
      </w:tr>
      <w:tr>
        <w:tblPrEx/>
        <w:trPr/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0" w:type="dxa"/>
            <w:textDirection w:val="lrTb"/>
            <w:noWrap w:val="false"/>
          </w:tcPr>
          <w:p>
            <w:pPr>
              <w:pStyle w:val="622"/>
              <w:jc w:val="center"/>
            </w:pPr>
            <w:r>
              <w:t xml:space="preserve">13.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06" w:type="dxa"/>
            <w:textDirection w:val="lrTb"/>
            <w:noWrap w:val="false"/>
          </w:tcPr>
          <w:p>
            <w:pPr>
              <w:pStyle w:val="622"/>
            </w:pPr>
            <w:r>
              <w:t xml:space="preserve">Порядок проведения торгов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19" w:type="dxa"/>
            <w:textDirection w:val="lrTb"/>
            <w:noWrap w:val="false"/>
          </w:tcPr>
          <w:p>
            <w:pPr>
              <w:pStyle w:val="63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Торги проводятся на электронной площадке в день и время, указанные в сообщении о продаже, путем повышения начальной цены продажи имущества на «шаг аукциона». </w:t>
            </w:r>
            <w:r>
              <w:rPr>
                <w:sz w:val="20"/>
                <w:szCs w:val="20"/>
              </w:rPr>
            </w:r>
          </w:p>
          <w:p>
            <w:pPr>
              <w:pStyle w:val="63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Предложения о цене заявляются участниками торгов открыто на электронной площадке в ходе проведения торгов. </w:t>
            </w:r>
            <w:r>
              <w:rPr>
                <w:sz w:val="20"/>
                <w:szCs w:val="20"/>
              </w:rPr>
            </w:r>
          </w:p>
          <w:p>
            <w:pPr>
              <w:pStyle w:val="63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То</w:t>
            </w:r>
            <w:r>
              <w:rPr>
                <w:sz w:val="20"/>
                <w:szCs w:val="20"/>
              </w:rPr>
              <w:t xml:space="preserve">рги завершаются, если в течение одного часа с момента начала представления предложений о цене не поступило ни одного предложения о цене или если в течение тридцати минут после представления последнего предложения о цене не поступило следующее предложение. </w:t>
            </w:r>
            <w:r>
              <w:rPr>
                <w:sz w:val="20"/>
                <w:szCs w:val="20"/>
              </w:rPr>
            </w:r>
          </w:p>
          <w:p>
            <w:pPr>
              <w:pStyle w:val="63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Победителем аукциона признается участник торгов, предложивший наиболее высокую цену. </w:t>
            </w:r>
            <w:r>
              <w:rPr>
                <w:sz w:val="20"/>
                <w:szCs w:val="20"/>
              </w:rPr>
            </w:r>
          </w:p>
          <w:p>
            <w:pPr>
              <w:pStyle w:val="622"/>
            </w:pPr>
            <w:r>
              <w:t xml:space="preserve">В случае, если не были представлены заявки на участие в торгах или к участию в торгах был допущен только один участник, организатор торгов принимает решение о признании торгов несостоявшимися. </w:t>
            </w:r>
            <w:r/>
          </w:p>
        </w:tc>
      </w:tr>
      <w:tr>
        <w:tblPrEx/>
        <w:trPr/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0" w:type="dxa"/>
            <w:textDirection w:val="lrTb"/>
            <w:noWrap w:val="false"/>
          </w:tcPr>
          <w:p>
            <w:pPr>
              <w:pStyle w:val="622"/>
              <w:jc w:val="center"/>
            </w:pPr>
            <w:r>
              <w:t xml:space="preserve">14.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06" w:type="dxa"/>
            <w:textDirection w:val="lrTb"/>
            <w:noWrap w:val="false"/>
          </w:tcPr>
          <w:p>
            <w:pPr>
              <w:pStyle w:val="622"/>
            </w:pPr>
            <w:r>
              <w:t xml:space="preserve">Подведение результатов торгов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19" w:type="dxa"/>
            <w:textDirection w:val="lrTb"/>
            <w:noWrap w:val="false"/>
          </w:tcPr>
          <w:p>
            <w:pPr>
              <w:pStyle w:val="622"/>
            </w:pPr>
            <w:r>
              <w:t xml:space="preserve">Результаты торгов подводятся путем оформления протокола о результатах проведения торгов или решения о признании торгов несостоявшимися. </w:t>
            </w:r>
            <w:r/>
          </w:p>
        </w:tc>
      </w:tr>
      <w:tr>
        <w:tblPrEx/>
        <w:trPr/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0" w:type="dxa"/>
            <w:textDirection w:val="lrTb"/>
            <w:noWrap w:val="false"/>
          </w:tcPr>
          <w:p>
            <w:pPr>
              <w:pStyle w:val="622"/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15.</w:t>
            </w:r>
            <w:r>
              <w:rPr>
                <w:lang w:val="en-US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06" w:type="dxa"/>
            <w:textDirection w:val="lrTb"/>
            <w:noWrap w:val="false"/>
          </w:tcPr>
          <w:p>
            <w:pPr>
              <w:pStyle w:val="622"/>
            </w:pPr>
            <w:r>
              <w:t xml:space="preserve">Порядок и срок заключения договора купли-продажи имущества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19" w:type="dxa"/>
            <w:textDirection w:val="lrTb"/>
            <w:noWrap w:val="false"/>
          </w:tcPr>
          <w:p>
            <w:pPr>
              <w:pStyle w:val="622"/>
            </w:pPr>
            <w:r>
              <w:t xml:space="preserve">В течение пяти дней</w:t>
            </w:r>
            <w:r>
              <w:t xml:space="preserve"> с даты утверждения протокола финансовый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</w:t>
            </w:r>
            <w:r/>
          </w:p>
          <w:p>
            <w:pPr>
              <w:pStyle w:val="622"/>
            </w:pPr>
            <w:r>
              <w:t xml:space="preserve">Договор купли-продажи имущества должен быть заключен в течение пяти дней с даты получения победителем торгов предложения о заключении данного договора.</w:t>
            </w:r>
            <w:r/>
          </w:p>
          <w:p>
            <w:pPr>
              <w:pStyle w:val="622"/>
            </w:pPr>
            <w:r>
              <w:t xml:space="preserve">В случае отказа или уклонения победителя торгов от подписания договора купли-продажи имущества в течение пяти дней со дня получения предложения финансового управляющего о заключении такого договора внесенный задаток ему </w:t>
            </w:r>
            <w:r>
              <w:t xml:space="preserve">не возвращается и финансовый управляющий вправе предложить заключить договор купли-продажи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</w:t>
            </w:r>
            <w:r/>
          </w:p>
        </w:tc>
      </w:tr>
      <w:tr>
        <w:tblPrEx/>
        <w:trPr/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0" w:type="dxa"/>
            <w:textDirection w:val="lrTb"/>
            <w:noWrap w:val="false"/>
          </w:tcPr>
          <w:p>
            <w:pPr>
              <w:pStyle w:val="622"/>
              <w:jc w:val="center"/>
            </w:pPr>
            <w:r>
              <w:t xml:space="preserve">1</w:t>
            </w:r>
            <w:r>
              <w:rPr>
                <w:lang w:val="en-US"/>
              </w:rPr>
              <w:t xml:space="preserve">6</w:t>
            </w:r>
            <w:r>
              <w:t xml:space="preserve">.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06" w:type="dxa"/>
            <w:textDirection w:val="lrTb"/>
            <w:noWrap w:val="false"/>
          </w:tcPr>
          <w:p>
            <w:pPr>
              <w:pStyle w:val="622"/>
            </w:pPr>
            <w:r>
              <w:t xml:space="preserve">Условия возврата задатка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19" w:type="dxa"/>
            <w:textDirection w:val="lrTb"/>
            <w:noWrap w:val="false"/>
          </w:tcPr>
          <w:p>
            <w:pPr>
              <w:pStyle w:val="622"/>
            </w:pPr>
            <w:r>
              <w:t xml:space="preserve">Суммы внесенных заявителями задатков возвращаются всем заявителям, за исключением победителя торгов, в течение пяти рабочих дней со дня подписания протокола о результатах проведения торгов.</w:t>
            </w:r>
            <w:r/>
          </w:p>
        </w:tc>
      </w:tr>
      <w:tr>
        <w:tblPrEx/>
        <w:trPr/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0" w:type="dxa"/>
            <w:textDirection w:val="lrTb"/>
            <w:noWrap w:val="false"/>
          </w:tcPr>
          <w:p>
            <w:pPr>
              <w:pStyle w:val="622"/>
              <w:jc w:val="center"/>
            </w:pPr>
            <w:r>
              <w:t xml:space="preserve">1</w:t>
            </w:r>
            <w:r>
              <w:rPr>
                <w:lang w:val="en-US"/>
              </w:rPr>
              <w:t xml:space="preserve">7</w:t>
            </w:r>
            <w:r>
              <w:t xml:space="preserve">.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06" w:type="dxa"/>
            <w:textDirection w:val="lrTb"/>
            <w:noWrap w:val="false"/>
          </w:tcPr>
          <w:p>
            <w:pPr>
              <w:pStyle w:val="622"/>
            </w:pPr>
            <w:r>
              <w:t xml:space="preserve">Условия оплаты имущества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19" w:type="dxa"/>
            <w:textDirection w:val="lrTb"/>
            <w:noWrap w:val="false"/>
          </w:tcPr>
          <w:p>
            <w:pPr>
              <w:pStyle w:val="622"/>
            </w:pPr>
            <w:r>
              <w:t xml:space="preserve">Победитель торгов перечисляет денежные средства в оплату приобретенного имущества в течение тридцати дней со дня подписания договора купли-продажи имущества по следующим реквизитам: </w:t>
            </w:r>
            <w:r/>
          </w:p>
          <w:p>
            <w:pPr>
              <w:pStyle w:val="622"/>
            </w:pPr>
            <w:r/>
            <w:r>
              <w:t xml:space="preserve">Валюта получаемого перевода: Российский рубль (RUB)</w:t>
              <w:br/>
              <w:t xml:space="preserve">Получатель: Тарасов Виктор Игоревич</w:t>
              <w:br/>
              <w:t xml:space="preserve">Номер счёта: 40817810250224671336 (Задатковый)</w:t>
              <w:br/>
              <w:t xml:space="preserve">Банк получателя: ФИЛИАЛ "ЦЕНТРАЛЬНЫЙ" ПАО "СОВКОМБАНК"</w:t>
              <w:br/>
              <w:t xml:space="preserve">БИК: 045004763</w:t>
              <w:br/>
              <w:t xml:space="preserve">Корр. счёт: 30101810150040000763</w:t>
              <w:br/>
              <w:t xml:space="preserve">ИНН: 4401116480</w:t>
              <w:br/>
              <w:t xml:space="preserve">КП</w:t>
            </w:r>
            <w:r>
              <w:t xml:space="preserve">П: 544543001</w:t>
            </w:r>
            <w:r/>
            <w:r/>
            <w:r/>
            <w:r/>
            <w:r/>
          </w:p>
          <w:p>
            <w:pPr>
              <w:pStyle w:val="622"/>
            </w:pPr>
            <w:r>
              <w:t xml:space="preserve">При заключении договора с лицом, выигравшим торги, сумма внесенного им задатка засчитывается в счет исполнения договора.</w:t>
            </w:r>
            <w:r/>
          </w:p>
        </w:tc>
      </w:tr>
      <w:tr>
        <w:tblPrEx/>
        <w:trPr/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0" w:type="dxa"/>
            <w:textDirection w:val="lrTb"/>
            <w:noWrap w:val="false"/>
          </w:tcPr>
          <w:p>
            <w:pPr>
              <w:pStyle w:val="622"/>
              <w:jc w:val="center"/>
            </w:pPr>
            <w:r>
              <w:t xml:space="preserve">1</w:t>
            </w:r>
            <w:r>
              <w:rPr>
                <w:lang w:val="en-US"/>
              </w:rPr>
              <w:t xml:space="preserve">8</w:t>
            </w:r>
            <w:r>
              <w:t xml:space="preserve">.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06" w:type="dxa"/>
            <w:textDirection w:val="lrTb"/>
            <w:noWrap w:val="false"/>
          </w:tcPr>
          <w:p>
            <w:pPr>
              <w:pStyle w:val="622"/>
            </w:pPr>
            <w:r>
              <w:t xml:space="preserve">Оформление договора купли-продажи имущества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19" w:type="dxa"/>
            <w:textDirection w:val="lrTb"/>
            <w:noWrap w:val="false"/>
          </w:tcPr>
          <w:p>
            <w:pPr>
              <w:pStyle w:val="622"/>
            </w:pPr>
            <w:r>
              <w:t xml:space="preserve">Обязательными условиями договора купли-продажи имущества являются:</w:t>
            </w:r>
            <w:r/>
          </w:p>
          <w:p>
            <w:pPr>
              <w:pStyle w:val="622"/>
            </w:pPr>
            <w:r>
              <w:t xml:space="preserve">сведения об имуществе, его составе, характеристиках, описание имущества;</w:t>
            </w:r>
            <w:r/>
          </w:p>
          <w:p>
            <w:pPr>
              <w:pStyle w:val="622"/>
            </w:pPr>
            <w:r>
              <w:t xml:space="preserve">цена продажи имущества;</w:t>
            </w:r>
            <w:r/>
          </w:p>
          <w:p>
            <w:pPr>
              <w:pStyle w:val="622"/>
            </w:pPr>
            <w:r>
              <w:t xml:space="preserve">порядок и срок передачи имущества покупателю;</w:t>
            </w:r>
            <w:r/>
          </w:p>
          <w:p>
            <w:pPr>
              <w:pStyle w:val="622"/>
            </w:pPr>
            <w:r>
              <w:t xml:space="preserve">сведения о наличии или об отсутствии обременении в отношении имущества, в том числе публичного сервитута;</w:t>
            </w:r>
            <w:r/>
          </w:p>
          <w:p>
            <w:pPr>
              <w:pStyle w:val="622"/>
            </w:pPr>
            <w:r>
              <w:t xml:space="preserve">иные предусмотренные законодательством Российской Федерации условия.</w:t>
            </w:r>
            <w:r/>
          </w:p>
          <w:p>
            <w:pPr>
              <w:pStyle w:val="622"/>
            </w:pPr>
            <w:r>
              <w:t xml:space="preserve">Передача имущества финансовым управляющим и принятие его покупателем осуществляются по передаточному акту, подписываемому сторонами и оформляемому в соответствии с </w:t>
            </w:r>
            <w:hyperlink r:id="rId10" w:tooltip="consultantplus://offline/ref=C170E87E5106903B2C2693164E83ABCA2276C913842C8ACC75FF6C560D0667AC2FE2ED39A0D15019R9r5M" w:history="1">
              <w:r>
                <w:rPr>
                  <w:rStyle w:val="624"/>
                  <w:color w:val="auto"/>
                  <w:u w:val="none"/>
                </w:rPr>
                <w:t xml:space="preserve">законодательством</w:t>
              </w:r>
            </w:hyperlink>
            <w:r>
              <w:t xml:space="preserve"> Российской Федерации.</w:t>
            </w:r>
            <w:r/>
          </w:p>
        </w:tc>
      </w:tr>
      <w:tr>
        <w:tblPrEx/>
        <w:trPr/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0" w:type="dxa"/>
            <w:textDirection w:val="lrTb"/>
            <w:noWrap w:val="false"/>
          </w:tcPr>
          <w:p>
            <w:pPr>
              <w:pStyle w:val="622"/>
              <w:jc w:val="center"/>
            </w:pPr>
            <w:r>
              <w:t xml:space="preserve">1</w:t>
            </w:r>
            <w:r>
              <w:rPr>
                <w:lang w:val="en-US"/>
              </w:rPr>
              <w:t xml:space="preserve">9</w:t>
            </w:r>
            <w:r>
              <w:t xml:space="preserve">.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06" w:type="dxa"/>
            <w:textDirection w:val="lrTb"/>
            <w:noWrap w:val="false"/>
          </w:tcPr>
          <w:p>
            <w:pPr>
              <w:pStyle w:val="622"/>
            </w:pPr>
            <w:r>
              <w:t xml:space="preserve">Проведение повторных торгов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19" w:type="dxa"/>
            <w:textDirection w:val="lrTb"/>
            <w:noWrap w:val="false"/>
          </w:tcPr>
          <w:p>
            <w:pPr>
              <w:pStyle w:val="622"/>
            </w:pPr>
            <w:r>
              <w:t xml:space="preserve">В случае признания торгов несостоявшимися и незаключения договора купли-продаж</w:t>
            </w:r>
            <w:r>
              <w:t xml:space="preserve">и с единственным участником торгов, а также в случае незаключения договора купли-продажи имущества по результатам торгов финансовый управляющий в течение двух дней после завершения срока, установленного для принятия решений о признании торгов несостоявшими</w:t>
            </w:r>
            <w:r>
              <w:t xml:space="preserve">ся, для заключения договора купли-продажи имущества с единственным участником торгов, для заключения договора купли-продажи имущества по результатам торгов, принимает решение о проведении повторных торгов и об установлении начальной цены продажи имущества.</w:t>
            </w:r>
            <w:r/>
          </w:p>
          <w:p>
            <w:pPr>
              <w:pStyle w:val="622"/>
            </w:pPr>
            <w:r>
              <w:t xml:space="preserve">Повторные торги проводятся в соответствии с условиями проведения первоначальных торгов.</w:t>
            </w:r>
            <w:r/>
          </w:p>
          <w:p>
            <w:pPr>
              <w:pStyle w:val="622"/>
            </w:pPr>
            <w:r>
              <w:t xml:space="preserve">Начальная цена продажи имущества на повторных торгах устанавливается на десять процентов ниже начальной цены продажи имущества, установленной на первоначальных торгах.</w:t>
            </w:r>
            <w:r/>
          </w:p>
        </w:tc>
      </w:tr>
      <w:tr>
        <w:tblPrEx/>
        <w:trPr/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0" w:type="dxa"/>
            <w:textDirection w:val="lrTb"/>
            <w:noWrap w:val="false"/>
          </w:tcPr>
          <w:p>
            <w:pPr>
              <w:pStyle w:val="622"/>
              <w:jc w:val="center"/>
            </w:pPr>
            <w:r>
              <w:rPr>
                <w:lang w:val="en-US"/>
              </w:rPr>
              <w:t xml:space="preserve">20</w:t>
            </w:r>
            <w:r>
              <w:t xml:space="preserve">.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06" w:type="dxa"/>
            <w:textDirection w:val="lrTb"/>
            <w:noWrap w:val="false"/>
          </w:tcPr>
          <w:p>
            <w:pPr>
              <w:pStyle w:val="622"/>
            </w:pPr>
            <w:r>
              <w:t xml:space="preserve">Продажа имущества посредством публичного предложения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19" w:type="dxa"/>
            <w:textDirection w:val="lrTb"/>
            <w:noWrap w:val="false"/>
          </w:tcPr>
          <w:p>
            <w:pPr>
              <w:pStyle w:val="622"/>
            </w:pPr>
            <w:r>
              <w:t xml:space="preserve">В случае, если повторные торги по продаже имущества должника признаны несостоявш</w:t>
            </w:r>
            <w:r>
              <w:t xml:space="preserve">имися или договор купли-продажи не был заключен с их единственным участником, а также в случае незаключения договора купли-продажи по результатам повторных торгов продаваемое на торгах имущество должника подлежит продаже посредством публичного предложения.</w:t>
            </w:r>
            <w:r/>
            <w:r/>
          </w:p>
          <w:p>
            <w:pPr>
              <w:pStyle w:val="622"/>
            </w:pPr>
            <w:r>
              <w:t xml:space="preserve">Торги в форме публичного предложения проводятся в соответствии с условиями проведения первоначальных торгов, за исключением особенностей, предусмотренных настоящим пунктом.  </w:t>
            </w:r>
            <w:r/>
            <w:r/>
          </w:p>
          <w:p>
            <w:pPr>
              <w:pStyle w:val="622"/>
            </w:pPr>
            <w:r>
              <w:t xml:space="preserve">Начальная цена продажи имущества устанавливается в размере начальной цены продажи имущества, установленной на повторных торгах.</w:t>
            </w:r>
            <w:r/>
            <w:r/>
          </w:p>
          <w:p>
            <w:pPr>
              <w:pStyle w:val="622"/>
            </w:pPr>
            <w:r>
              <w:t xml:space="preserve">Величина снижения начальной цены продажи имущества должника - 10 %.</w:t>
            </w:r>
            <w:r/>
            <w:r/>
          </w:p>
          <w:p>
            <w:pPr>
              <w:pStyle w:val="622"/>
            </w:pPr>
            <w:r>
              <w:t xml:space="preserve">Срок, по истечении которого последовательно снижается начальная цена – каждые 7 календарных дней. Размер задатка - 10% от начальной цены, установленной для соответствующего периода проведения торгов.</w:t>
            </w:r>
            <w:r/>
            <w:r/>
          </w:p>
          <w:p>
            <w:pPr>
              <w:pStyle w:val="622"/>
            </w:pPr>
            <w:r>
              <w:t xml:space="preserve">Сообщение о продаже имущества посредством публичного предложения публикуется в газете «Коммерсантъ», а также размеща</w:t>
            </w:r>
            <w:r>
              <w:t xml:space="preserve">ется на Едином федеральном реестре сведений о банкротстве за 3 дней до даты начала приема заяв</w:t>
            </w:r>
            <w:r>
              <w:t xml:space="preserve">ок на участие в торгах. В сообщении о продаже наряду со сведениями, указанными в пункте 9 настоящего Положения, указываются величина снижения начальной цены продажи имущества и срок, по истечении которого последовательно снижается указанная начальная цена.</w:t>
            </w:r>
            <w:r/>
            <w:r/>
          </w:p>
          <w:p>
            <w:pPr>
              <w:pStyle w:val="622"/>
            </w:pPr>
            <w: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</w:t>
            </w:r>
            <w:r>
              <w:t xml:space="preserve">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</w:t>
            </w:r>
            <w:r>
              <w:t xml:space="preserve">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</w:t>
            </w:r>
            <w:r>
              <w:t xml:space="preserve">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</w:t>
            </w:r>
            <w:r>
              <w:t xml:space="preserve">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</w:t>
            </w:r>
            <w:r>
              <w:t xml:space="preserve">, установлен</w:t>
            </w:r>
            <w:r>
              <w:t xml:space="preserve">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  <w:r/>
            <w:r/>
          </w:p>
          <w:p>
            <w:pPr>
              <w:pStyle w:val="622"/>
            </w:pPr>
            <w:r>
              <w:t xml:space="preserve">С даты определения победителя торгов по продаже имущества должника посредством публичного предложения прием заявок прекращается. </w:t>
            </w:r>
            <w:r/>
            <w:r/>
          </w:p>
          <w:p>
            <w:pPr>
              <w:pStyle w:val="622"/>
            </w:pPr>
            <w:r>
              <w:t xml:space="preserve">При участии в торгах посредством публичного предложения заявитель обязан обеспечить поступление задатка на счета,</w:t>
            </w:r>
            <w:r>
              <w:t xml:space="preserve"> указанные в электронном сообщении о продаже, не позднее указанной в таком сообщении даты и времени окончания приема заявок на участие в торгах для соответствующего периода проведения торгов.</w:t>
            </w:r>
            <w:r/>
            <w:r/>
          </w:p>
          <w:p>
            <w:pPr>
              <w:pStyle w:val="622"/>
            </w:pPr>
            <w:r>
              <w:t xml:space="preserve">Заявки на участие в торгах, поступившие в т</w:t>
            </w:r>
            <w:r>
              <w:t xml:space="preserve">ечение определенного периода проведения торгов, рассматриваются только после рассмотрения заявок на участие в торгах, поступивших в течение предыдущего периода проведения торгов, если по результатам рассмотрения таких заявок не определен победитель торгов.</w:t>
            </w:r>
            <w:r/>
            <w:r/>
          </w:p>
          <w:p>
            <w:pPr>
              <w:pStyle w:val="622"/>
            </w:pPr>
            <w:r>
              <w:t xml:space="preserve">Определение участник</w:t>
            </w:r>
            <w:r>
              <w:t xml:space="preserve">ов торгов, проводимых в форме публичного предложения осуществляется в следующем порядке:</w:t>
            </w:r>
            <w:r/>
            <w:r/>
          </w:p>
          <w:p>
            <w:pPr>
              <w:pStyle w:val="622"/>
            </w:pPr>
            <w:r>
              <w:t xml:space="preserve">Оператор электронной площадки направляет организатору торгов все зарегистрированные заявки на участие в торгах, представленные и не отозванные до окончания срока предс</w:t>
            </w:r>
            <w:r>
              <w:t xml:space="preserve">тавления заявок для определенного периода проведения торгов, и приложенные к ним документы с указанием даты и точного времени представления заявки на участие в торгах, порядкового номера регистрации каждой заявки не позднее тридцати минут после наступления</w:t>
            </w:r>
            <w:r>
              <w:t xml:space="preserve"> одного из следующих случаев:</w:t>
            </w:r>
            <w:r/>
            <w:r/>
          </w:p>
          <w:p>
            <w:pPr>
              <w:pStyle w:val="622"/>
            </w:pPr>
            <w:r>
              <w:t xml:space="preserve">завершения торгов вследствие поступления от организатора торгов электронного сообщения о завершении торгов вследствие оставления </w:t>
            </w:r>
            <w:r>
              <w:t xml:space="preserve">конк</w:t>
            </w:r>
            <w:r>
              <w:t xml:space="preserve">урсным кредитором предмета залога за собой;</w:t>
            </w:r>
            <w:r/>
            <w:r/>
          </w:p>
          <w:p>
            <w:pPr>
              <w:pStyle w:val="622"/>
            </w:pPr>
            <w:r>
              <w:t xml:space="preserve">окончания периода проведения торгов.</w:t>
            </w:r>
            <w:r/>
            <w:r/>
          </w:p>
          <w:p>
            <w:pPr>
              <w:pStyle w:val="622"/>
            </w:pPr>
            <w:r>
              <w:t xml:space="preserve">Если имеются</w:t>
            </w:r>
            <w:r>
              <w:t xml:space="preserve"> заявки на участие в торгах, представленные и не отозванные до окончания срока представления заявок для соответствующего периода проведения торгов, организатор торгов посредством программно-аппаратных средств сайта формирует протокол об определении участни</w:t>
            </w:r>
            <w:r>
              <w:t xml:space="preserve">ков торгов и направляет указанный протокол в форме электронного сообщения, подписанного квалифицированной электронной подписью, оператору электронной площадки не позднее пяти календарных дней после наступления одного из следующих случаев:</w:t>
            </w:r>
            <w:r/>
            <w:r/>
          </w:p>
          <w:p>
            <w:pPr>
              <w:pStyle w:val="622"/>
            </w:pPr>
            <w:r>
              <w:t xml:space="preserve">завершения торгов вследствие оставления конкурсным кредитором предмета залога за собой;</w:t>
            </w:r>
            <w:r/>
            <w:r/>
          </w:p>
          <w:p>
            <w:pPr>
              <w:pStyle w:val="622"/>
            </w:pPr>
            <w:r>
              <w:t xml:space="preserve">окончания периода проведения торгов.</w:t>
            </w:r>
            <w:r/>
            <w:r/>
          </w:p>
          <w:p>
            <w:pPr>
              <w:pStyle w:val="622"/>
            </w:pPr>
            <w:r>
              <w:t xml:space="preserve">По результатам проведения торгов оператором электронной площадки с помощью программно-аппаратных средств сайта формируется и направляется организато</w:t>
            </w:r>
            <w:r>
              <w:t xml:space="preserve">ру торгов в форме электронного сообщения проект протокола о результатах проведения торгов или решения о признании торгов несостоявшимися не позднее тридцати минут с момента:</w:t>
            </w:r>
            <w:r/>
            <w:r/>
          </w:p>
          <w:p>
            <w:pPr>
              <w:pStyle w:val="622"/>
            </w:pPr>
            <w:r>
              <w:t xml:space="preserve">получения от организатора торгов (по окончании любого периода проведения торгов ил</w:t>
            </w:r>
            <w:r>
              <w:t xml:space="preserve">и по завершении торгов вследствие поступления электронного сообщения о завершении торгов вследствие оставления конкурсным кредитором предмета залога за собой) протокола об определении участников торгов, согласно которому к участию в торгах допущен хотя бы </w:t>
            </w:r>
            <w:r>
              <w:t xml:space="preserve">один участник;</w:t>
            </w:r>
            <w:r/>
            <w:r/>
          </w:p>
          <w:p>
            <w:pPr>
              <w:pStyle w:val="622"/>
            </w:pPr>
            <w:r>
              <w:t xml:space="preserve">получения от организатора торгов (по окончании последнего периода проведения торгов или по завершении торгов вследствие</w:t>
            </w:r>
            <w:r>
              <w:t xml:space="preserve"> поступления электронного сообщения о завершении торгов вследствие оставления конкурсным кредитором предмета залога за собой) протокола об определении участников торгов, согласно которому к участию в торгах не допущен ни один заявитель на участие в торгах;</w:t>
            </w:r>
            <w:r/>
            <w:r/>
          </w:p>
          <w:p>
            <w:pPr>
              <w:pStyle w:val="622"/>
            </w:pPr>
            <w:r>
              <w:t xml:space="preserve">окончания последнего периода проведения торгов или завершения торгов вследствие поступления электронного сообщения о заве</w:t>
            </w:r>
            <w:r>
              <w:t xml:space="preserve">ршении торгов вследствие оставления конкурсным кредитором предмета залога за собой, при отсутствии заявок на участие в торгах.</w:t>
            </w:r>
            <w:r/>
            <w:r/>
          </w:p>
          <w:p>
            <w:pPr>
              <w:pStyle w:val="622"/>
            </w:pPr>
            <w:r>
              <w:t xml:space="preserve">Организатор торгов рассматривает, подписывает квалифицированной электронной подписью и направляет опе</w:t>
            </w:r>
            <w:r>
              <w:t xml:space="preserve">ратору электронной площадки поступившие протокол о результатах проведения торгов или решение о признании торгов несостоявшимися не позднее одного рабочего дня после получения от оператора электронной площадки соответствующих проектов протокола или решения.</w:t>
            </w:r>
            <w:r/>
            <w:r/>
          </w:p>
          <w:p>
            <w:pPr>
              <w:pStyle w:val="622"/>
            </w:pPr>
            <w:r>
              <w:t xml:space="preserve">Протокол о результатах пров</w:t>
            </w:r>
            <w:r>
              <w:t xml:space="preserve">едения торгов или решение о признании торгов несостоявшимися размещаются оператором электронной площадки на электронной площадке.</w:t>
            </w:r>
            <w:r/>
            <w:r/>
          </w:p>
          <w:p>
            <w:pPr>
              <w:pStyle w:val="622"/>
            </w:pPr>
            <w:r>
              <w:t xml:space="preserve">Не позднее тридцати минут после размещения на электронной площадке указанных прото</w:t>
            </w:r>
            <w:r>
              <w:t xml:space="preserve">кола или решения организатор торгов посредством программно-аппаратных средств сайта направляет такие протокол или решение в форме электронного сообщения всем участникам торгов, в том числе на адрес электронной почты, указанный в заявке на участие в торгах.</w:t>
            </w:r>
            <w:r/>
            <w:r/>
          </w:p>
          <w:p>
            <w:pPr>
              <w:pStyle w:val="622"/>
            </w:pPr>
            <w:r/>
          </w:p>
        </w:tc>
      </w:tr>
    </w:tbl>
    <w:p>
      <w:pPr>
        <w:pStyle w:val="622"/>
      </w:pPr>
      <w:r/>
      <w:r/>
    </w:p>
    <w:p>
      <w:pPr>
        <w:pStyle w:val="622"/>
        <w:jc w:val="both"/>
      </w:pPr>
      <w:r/>
      <w:r/>
    </w:p>
    <w:p>
      <w:pPr>
        <w:pStyle w:val="622"/>
        <w:ind w:left="-567"/>
        <w:jc w:val="both"/>
      </w:pPr>
      <w:r>
        <w:t xml:space="preserve">Все иные условия проведения торгов про продаже имущества, не указанные в настоящем </w:t>
      </w:r>
      <w:r>
        <w:t xml:space="preserve">Положении, регулируются Федеральным законом «О несостоятельности (банкротстве)», Приказом Минэкономразвития России от 23.07.2015 N 495 «Об утверждении Порядка проведения торгов в электронной форме по продаже имущества или предприятия должников в ходе проце</w:t>
      </w:r>
      <w:r>
        <w:t xml:space="preserve">дур, применяемых в деле о банкротстве, Требований к операторам электронных площадок, к электронным площадкам, в том числе технологическим, программным, лингвистическим, правовым и организационным средствам, необходимым для проведения торгов в электронной ф</w:t>
      </w:r>
      <w:r>
        <w:t xml:space="preserve">орме по продаже имущества или предприятия должников в ходе процедур, применяемых в деле о банкротстве, внесении изменений в приказ Минэкономразвития России от 5 апреля 2013 г. N 178 и признании утратившими силу некоторых приказов Минэкономразвития России».</w:t>
      </w:r>
      <w:r/>
    </w:p>
    <w:p>
      <w:pPr>
        <w:pStyle w:val="633"/>
        <w:jc w:val="both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tbl>
      <w:tblPr>
        <w:tblW w:w="5000" w:type="pct"/>
        <w:tblInd w:w="0" w:type="dxa"/>
        <w:tblLayout w:type="fixed"/>
        <w:tblCellMar>
          <w:left w:w="0" w:type="dxa"/>
          <w:top w:w="0" w:type="dxa"/>
          <w:right w:w="0" w:type="dxa"/>
          <w:bottom w:w="0" w:type="dxa"/>
        </w:tblCellMar>
        <w:tblLook w:val="04A0" w:firstRow="1" w:lastRow="0" w:firstColumn="1" w:lastColumn="0" w:noHBand="0" w:noVBand="1"/>
      </w:tblPr>
      <w:tblGrid>
        <w:gridCol w:w="4643"/>
        <w:gridCol w:w="64"/>
        <w:gridCol w:w="4648"/>
      </w:tblGrid>
      <w:tr>
        <w:tblPrEx/>
        <w:trPr/>
        <w:tc>
          <w:tcPr>
            <w:tcW w:w="4643" w:type="dxa"/>
            <w:textDirection w:val="lrTb"/>
            <w:noWrap w:val="false"/>
          </w:tcPr>
          <w:p>
            <w:pPr>
              <w:pStyle w:val="622"/>
            </w:pPr>
            <w:r/>
            <w:r/>
          </w:p>
          <w:p>
            <w:pPr>
              <w:pStyle w:val="622"/>
              <w:rPr>
                <w:lang w:val="en-US"/>
              </w:rPr>
            </w:pPr>
            <w:r>
              <w:t xml:space="preserve">Финансовый</w:t>
            </w:r>
            <w:r>
              <w:rPr>
                <w:lang w:val="en-US"/>
              </w:rPr>
              <w:t xml:space="preserve"> </w:t>
            </w:r>
            <w:r>
              <w:t xml:space="preserve">управляющий</w:t>
            </w:r>
            <w:r>
              <w:rPr>
                <w:bCs/>
                <w:lang w:val="en-US"/>
              </w:rPr>
              <w:br/>
            </w:r>
            <w:r>
              <w:rPr>
                <w:lang w:val="en-US"/>
              </w:rPr>
              <w:t xml:space="preserve">Тарасова Виктора Игоревича</w:t>
            </w:r>
            <w:r>
              <w:rPr>
                <w:lang w:val="en-US"/>
              </w:rPr>
            </w:r>
          </w:p>
        </w:tc>
        <w:tc>
          <w:tcPr>
            <w:tcW w:w="64" w:type="dxa"/>
            <w:vAlign w:val="center"/>
            <w:textDirection w:val="lrTb"/>
            <w:noWrap w:val="false"/>
          </w:tcPr>
          <w:p>
            <w:pPr>
              <w:pStyle w:val="622"/>
              <w:rPr>
                <w:lang w:val="en-US"/>
              </w:rPr>
            </w:pPr>
            <w:r>
              <w:rPr>
                <w:lang w:val="en-US"/>
              </w:rPr>
              <w:t xml:space="preserve"> </w:t>
            </w:r>
            <w:r>
              <w:rPr>
                <w:lang w:val="en-US"/>
              </w:rPr>
            </w:r>
          </w:p>
        </w:tc>
        <w:tc>
          <w:tcPr>
            <w:tcW w:w="4648" w:type="dxa"/>
            <w:textDirection w:val="lrTb"/>
            <w:noWrap w:val="false"/>
          </w:tcPr>
          <w:p>
            <w:pPr>
              <w:pStyle w:val="634"/>
              <w:jc w:val="right"/>
              <w:spacing w:before="240" w:after="240"/>
              <w:rPr>
                <w:sz w:val="20"/>
                <w:szCs w:val="20"/>
              </w:rPr>
            </w:pPr>
            <w: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0" distR="0" simplePos="0" relativeHeight="2" behindDoc="0" locked="0" layoutInCell="0" allowOverlap="1">
                      <wp:simplePos x="0" y="0"/>
                      <wp:positionH relativeFrom="column">
                        <wp:posOffset>132715</wp:posOffset>
                      </wp:positionH>
                      <wp:positionV relativeFrom="paragraph">
                        <wp:posOffset>93345</wp:posOffset>
                      </wp:positionV>
                      <wp:extent cx="471170" cy="613410"/>
                      <wp:effectExtent l="0" t="0" r="0" b="0"/>
                      <wp:wrapSquare wrapText="bothSides"/>
                      <wp:docPr id="1" name="Изображение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" name="Изображение1"/>
                              <pic:cNvPicPr>
                                <a:picLocks noChangeAspect="1"/>
                              </pic:cNvPicPr>
                              <pic:nvPr/>
                            </pic:nvPicPr>
                            <pic:blipFill>
                              <a:blip r:embed="rId1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71170" cy="613410"/>
                              </a:xfrm>
                              <a:prstGeom prst="rect">
                                <a:avLst/>
                              </a:prstGeom>
                              <a:noFill/>
                            </pic:spPr>
                          </pic:pic>
                        </a:graphicData>
                      </a:graphic>
                    </wp:anchor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0" o:spid="_x0000_s0" type="#_x0000_t75" style="position:absolute;z-index:2;o:allowoverlap:true;o:allowincell:false;mso-position-horizontal-relative:text;margin-left:10.45pt;mso-position-horizontal:absolute;mso-position-vertical-relative:text;margin-top:7.35pt;mso-position-vertical:absolute;width:37.10pt;height:48.30pt;mso-wrap-distance-left:0.00pt;mso-wrap-distance-top:0.00pt;mso-wrap-distance-right:0.00pt;mso-wrap-distance-bottom:0.00pt;" stroked="false">
                      <v:path textboxrect="0,0,0,0"/>
                      <w10:wrap type="square"/>
                      <v:imagedata r:id="rId11" o:title=""/>
                    </v:shape>
                  </w:pict>
                </mc:Fallback>
              </mc:AlternateContent>
            </w:r>
            <w:r>
              <w:rPr>
                <w:b/>
                <w:bCs/>
                <w:sz w:val="20"/>
                <w:szCs w:val="20"/>
              </w:rPr>
              <w:t xml:space="preserve">М.В.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 xml:space="preserve">Косточкина</w:t>
            </w:r>
            <w:r/>
            <w:r/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</w:tbl>
    <w:p>
      <w:pPr>
        <w:pStyle w:val="622"/>
        <w:jc w:val="both"/>
      </w:pPr>
      <w:r/>
      <w:r/>
    </w:p>
    <w:p>
      <w:pPr>
        <w:pStyle w:val="622"/>
      </w:pPr>
      <w:r/>
      <w:r/>
    </w:p>
    <w:sectPr>
      <w:footnotePr/>
      <w:endnotePr/>
      <w:type w:val="nextPage"/>
      <w:pgSz w:w="11906" w:h="16838" w:orient="portrait"/>
      <w:pgMar w:top="1134" w:right="850" w:bottom="1134" w:left="1701" w:header="0" w:footer="0" w:gutter="0"/>
      <w:cols w:num="1" w:sep="0" w:space="1701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</w:font>
  <w:font w:name="Arial Unicode MS">
    <w:panose1 w:val="020B0604020202020204"/>
  </w:font>
  <w:font w:name="Liberation Sans">
    <w:panose1 w:val="020B0604020202020204"/>
  </w:font>
  <w:font w:name="Times New Roman">
    <w:panose1 w:val="020206030504050203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"/>
      <w:lvlJc w:val="right"/>
      <w:pPr>
        <w:ind w:left="720" w:hanging="360"/>
        <w:tabs>
          <w:tab w:val="num" w:pos="0" w:leader="none"/>
        </w:tabs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0" w:leader="none"/>
        </w:tabs>
      </w:pPr>
    </w:lvl>
  </w:abstractNum>
  <w:abstractNum w:abstractNumId="1">
    <w:multiLevelType w:val="hybridMultilevel"/>
    <w:lvl w:ilvl="0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1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2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3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4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5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6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7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8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autoHyphenation w:val="true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alibri" w:hAnsi="Calibri" w:eastAsia="Calibri" w:cs="Times New Roman"/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numbering" w:styleId="13">
    <w:name w:val="No List"/>
    <w:uiPriority w:val="99"/>
    <w:semiHidden/>
    <w:unhideWhenUsed/>
  </w:style>
  <w:style w:type="paragraph" w:styleId="14">
    <w:name w:val="Heading 1"/>
    <w:basedOn w:val="622"/>
    <w:next w:val="622"/>
    <w:link w:val="15"/>
    <w:uiPriority w:val="9"/>
    <w:qFormat/>
    <w:pPr>
      <w:keepLines/>
      <w:keepNext/>
      <w:spacing w:before="480" w:after="200"/>
      <w:outlineLvl w:val="0"/>
    </w:pPr>
    <w:rPr>
      <w:rFonts w:ascii="Liberation Sans" w:hAnsi="Liberation Sans" w:eastAsia="Liberation Sans" w:cs="Liberation Sans"/>
      <w:sz w:val="40"/>
      <w:szCs w:val="40"/>
    </w:rPr>
  </w:style>
  <w:style w:type="character" w:styleId="15">
    <w:name w:val="Heading 1 Char"/>
    <w:basedOn w:val="623"/>
    <w:link w:val="14"/>
    <w:uiPriority w:val="9"/>
    <w:rPr>
      <w:rFonts w:ascii="Liberation Sans" w:hAnsi="Liberation Sans" w:eastAsia="Liberation Sans" w:cs="Liberation Sans"/>
      <w:sz w:val="40"/>
      <w:szCs w:val="40"/>
    </w:rPr>
  </w:style>
  <w:style w:type="paragraph" w:styleId="16">
    <w:name w:val="Heading 2"/>
    <w:basedOn w:val="622"/>
    <w:next w:val="622"/>
    <w:link w:val="17"/>
    <w:uiPriority w:val="9"/>
    <w:unhideWhenUsed/>
    <w:qFormat/>
    <w:pPr>
      <w:keepLines/>
      <w:keepNext/>
      <w:spacing w:before="360" w:after="200"/>
      <w:outlineLvl w:val="1"/>
    </w:pPr>
    <w:rPr>
      <w:rFonts w:ascii="Liberation Sans" w:hAnsi="Liberation Sans" w:eastAsia="Liberation Sans" w:cs="Liberation Sans"/>
      <w:sz w:val="34"/>
    </w:rPr>
  </w:style>
  <w:style w:type="character" w:styleId="17">
    <w:name w:val="Heading 2 Char"/>
    <w:basedOn w:val="623"/>
    <w:link w:val="16"/>
    <w:uiPriority w:val="9"/>
    <w:rPr>
      <w:rFonts w:ascii="Liberation Sans" w:hAnsi="Liberation Sans" w:eastAsia="Liberation Sans" w:cs="Liberation Sans"/>
      <w:sz w:val="34"/>
    </w:rPr>
  </w:style>
  <w:style w:type="paragraph" w:styleId="18">
    <w:name w:val="Heading 3"/>
    <w:basedOn w:val="622"/>
    <w:next w:val="622"/>
    <w:link w:val="19"/>
    <w:uiPriority w:val="9"/>
    <w:unhideWhenUsed/>
    <w:qFormat/>
    <w:pPr>
      <w:keepLines/>
      <w:keepNext/>
      <w:spacing w:before="320" w:after="200"/>
      <w:outlineLvl w:val="2"/>
    </w:pPr>
    <w:rPr>
      <w:rFonts w:ascii="Liberation Sans" w:hAnsi="Liberation Sans" w:eastAsia="Liberation Sans" w:cs="Liberation Sans"/>
      <w:sz w:val="30"/>
      <w:szCs w:val="30"/>
    </w:rPr>
  </w:style>
  <w:style w:type="character" w:styleId="19">
    <w:name w:val="Heading 3 Char"/>
    <w:basedOn w:val="623"/>
    <w:link w:val="18"/>
    <w:uiPriority w:val="9"/>
    <w:rPr>
      <w:rFonts w:ascii="Liberation Sans" w:hAnsi="Liberation Sans" w:eastAsia="Liberation Sans" w:cs="Liberation Sans"/>
      <w:sz w:val="30"/>
      <w:szCs w:val="30"/>
    </w:rPr>
  </w:style>
  <w:style w:type="paragraph" w:styleId="20">
    <w:name w:val="Heading 4"/>
    <w:basedOn w:val="622"/>
    <w:next w:val="622"/>
    <w:link w:val="21"/>
    <w:uiPriority w:val="9"/>
    <w:unhideWhenUsed/>
    <w:qFormat/>
    <w:pPr>
      <w:keepLines/>
      <w:keepNext/>
      <w:spacing w:before="320" w:after="200"/>
      <w:outlineLvl w:val="3"/>
    </w:pPr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21">
    <w:name w:val="Heading 4 Char"/>
    <w:basedOn w:val="623"/>
    <w:link w:val="20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paragraph" w:styleId="22">
    <w:name w:val="Heading 5"/>
    <w:basedOn w:val="622"/>
    <w:next w:val="622"/>
    <w:link w:val="23"/>
    <w:uiPriority w:val="9"/>
    <w:unhideWhenUsed/>
    <w:qFormat/>
    <w:pPr>
      <w:keepLines/>
      <w:keepNext/>
      <w:spacing w:before="320" w:after="200"/>
      <w:outlineLvl w:val="4"/>
    </w:pPr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23">
    <w:name w:val="Heading 5 Char"/>
    <w:basedOn w:val="623"/>
    <w:link w:val="22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24">
    <w:name w:val="Heading 6"/>
    <w:basedOn w:val="622"/>
    <w:next w:val="622"/>
    <w:link w:val="25"/>
    <w:uiPriority w:val="9"/>
    <w:unhideWhenUsed/>
    <w:qFormat/>
    <w:pPr>
      <w:keepLines/>
      <w:keepNext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25">
    <w:name w:val="Heading 6 Char"/>
    <w:basedOn w:val="623"/>
    <w:link w:val="24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26">
    <w:name w:val="Heading 7"/>
    <w:basedOn w:val="622"/>
    <w:next w:val="622"/>
    <w:link w:val="27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27">
    <w:name w:val="Heading 7 Char"/>
    <w:basedOn w:val="623"/>
    <w:link w:val="26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28">
    <w:name w:val="Heading 8"/>
    <w:basedOn w:val="622"/>
    <w:next w:val="622"/>
    <w:link w:val="29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29">
    <w:name w:val="Heading 8 Char"/>
    <w:basedOn w:val="623"/>
    <w:link w:val="28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30">
    <w:name w:val="Heading 9"/>
    <w:basedOn w:val="622"/>
    <w:next w:val="622"/>
    <w:link w:val="31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31">
    <w:name w:val="Heading 9 Char"/>
    <w:basedOn w:val="623"/>
    <w:link w:val="30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34">
    <w:name w:val="No Spacing"/>
    <w:uiPriority w:val="1"/>
    <w:qFormat/>
    <w:pPr>
      <w:spacing w:before="0" w:after="0" w:line="240" w:lineRule="auto"/>
    </w:pPr>
  </w:style>
  <w:style w:type="paragraph" w:styleId="35">
    <w:name w:val="Title"/>
    <w:basedOn w:val="622"/>
    <w:next w:val="622"/>
    <w:link w:val="36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6">
    <w:name w:val="Title Char"/>
    <w:basedOn w:val="623"/>
    <w:link w:val="35"/>
    <w:uiPriority w:val="10"/>
    <w:rPr>
      <w:sz w:val="48"/>
      <w:szCs w:val="48"/>
    </w:rPr>
  </w:style>
  <w:style w:type="paragraph" w:styleId="37">
    <w:name w:val="Subtitle"/>
    <w:basedOn w:val="622"/>
    <w:next w:val="622"/>
    <w:link w:val="38"/>
    <w:uiPriority w:val="11"/>
    <w:qFormat/>
    <w:pPr>
      <w:spacing w:before="200" w:after="200"/>
    </w:pPr>
    <w:rPr>
      <w:sz w:val="24"/>
      <w:szCs w:val="24"/>
    </w:rPr>
  </w:style>
  <w:style w:type="character" w:styleId="38">
    <w:name w:val="Subtitle Char"/>
    <w:basedOn w:val="623"/>
    <w:link w:val="37"/>
    <w:uiPriority w:val="11"/>
    <w:rPr>
      <w:sz w:val="24"/>
      <w:szCs w:val="24"/>
    </w:rPr>
  </w:style>
  <w:style w:type="paragraph" w:styleId="39">
    <w:name w:val="Quote"/>
    <w:basedOn w:val="622"/>
    <w:next w:val="622"/>
    <w:link w:val="40"/>
    <w:uiPriority w:val="29"/>
    <w:qFormat/>
    <w:pPr>
      <w:ind w:left="720" w:right="720"/>
    </w:pPr>
    <w:rPr>
      <w:i/>
    </w:rPr>
  </w:style>
  <w:style w:type="character" w:styleId="40">
    <w:name w:val="Quote Char"/>
    <w:link w:val="39"/>
    <w:uiPriority w:val="29"/>
    <w:rPr>
      <w:i/>
    </w:rPr>
  </w:style>
  <w:style w:type="paragraph" w:styleId="41">
    <w:name w:val="Intense Quote"/>
    <w:basedOn w:val="622"/>
    <w:next w:val="622"/>
    <w:link w:val="42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2">
    <w:name w:val="Intense Quote Char"/>
    <w:link w:val="41"/>
    <w:uiPriority w:val="30"/>
    <w:rPr>
      <w:i/>
    </w:rPr>
  </w:style>
  <w:style w:type="paragraph" w:styleId="43">
    <w:name w:val="Header"/>
    <w:basedOn w:val="622"/>
    <w:link w:val="44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4">
    <w:name w:val="Header Char"/>
    <w:basedOn w:val="623"/>
    <w:link w:val="43"/>
    <w:uiPriority w:val="99"/>
  </w:style>
  <w:style w:type="paragraph" w:styleId="45">
    <w:name w:val="Footer"/>
    <w:basedOn w:val="622"/>
    <w:link w:val="46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6">
    <w:name w:val="Footer Char"/>
    <w:basedOn w:val="623"/>
    <w:link w:val="45"/>
    <w:uiPriority w:val="99"/>
  </w:style>
  <w:style w:type="character" w:styleId="48">
    <w:name w:val="Caption Char"/>
    <w:basedOn w:val="623"/>
    <w:link w:val="628"/>
    <w:uiPriority w:val="35"/>
    <w:rPr>
      <w:b/>
      <w:bCs/>
      <w:color w:val="4f81bd" w:themeColor="accent1"/>
      <w:sz w:val="18"/>
      <w:szCs w:val="18"/>
    </w:rPr>
  </w:style>
  <w:style w:type="table" w:styleId="50">
    <w:name w:val="Table Grid Light"/>
    <w:basedOn w:val="638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1">
    <w:name w:val="Plain Table 1"/>
    <w:basedOn w:val="638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2">
    <w:name w:val="Plain Table 2"/>
    <w:basedOn w:val="638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3">
    <w:name w:val="Plain Table 3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4">
    <w:name w:val="Plain Table 4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Plain Table 5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6">
    <w:name w:val="Grid Table 1 Light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1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2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3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4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5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1 Light - Accent 6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3">
    <w:name w:val="Grid Table 2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1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2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3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4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5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2 - Accent 6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1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2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3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4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5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3 - Accent 6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">
    <w:name w:val="Grid Table 4"/>
    <w:basedOn w:val="63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8">
    <w:name w:val="Grid Table 4 - Accent 1"/>
    <w:basedOn w:val="63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ae3f3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ae3f3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537fc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9">
    <w:name w:val="Grid Table 4 - Accent 2"/>
    <w:basedOn w:val="63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80">
    <w:name w:val="Grid Table 4 - Accent 3"/>
    <w:basedOn w:val="63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1">
    <w:name w:val="Grid Table 4 - Accent 4"/>
    <w:basedOn w:val="63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2">
    <w:name w:val="Grid Table 4 - Accent 5"/>
    <w:basedOn w:val="63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5b9bd5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3">
    <w:name w:val="Grid Table 4 - Accent 6"/>
    <w:basedOn w:val="63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4">
    <w:name w:val="Grid Table 5 Dark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5">
    <w:name w:val="Grid Table 5 Dark- Accent 1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9e2f2" w:themeFill="accent1" w:themeFillTint="34"/>
    </w:tblPr>
    <w:tblStylePr w:type="band1Horz">
      <w:tcPr>
        <w:shd w:val="clear" w:color="ffffff" w:themeColor="accent1" w:themeTint="75" w:fill="aabfe3" w:themeFill="accent1" w:themeFillTint="75"/>
      </w:tcPr>
    </w:tblStylePr>
    <w:tblStylePr w:type="band1Vert">
      <w:tcPr>
        <w:shd w:val="clear" w:color="ffffff" w:themeColor="accent1" w:themeTint="75" w:fill="aabfe3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4472c4" w:themeFill="accent1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2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87">
    <w:name w:val="Grid Table 5 Dark - Accent 3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88">
    <w:name w:val="Grid Table 5 Dark- Accent 4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5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debf6" w:themeFill="accent5" w:themeFillTint="34"/>
    </w:tblPr>
    <w:tblStylePr w:type="band1Horz">
      <w:tcPr>
        <w:shd w:val="clear" w:color="ffffff" w:themeColor="accent5" w:themeTint="75" w:fill="b4d2eb" w:themeFill="accent5" w:themeFillTint="75"/>
      </w:tcPr>
    </w:tblStylePr>
    <w:tblStylePr w:type="band1Vert">
      <w:tcPr>
        <w:shd w:val="clear" w:color="ffffff" w:themeColor="accent5" w:themeTint="75" w:fill="b4d2eb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5b9bd5" w:themeFill="accent5"/>
        <w:tcBorders>
          <w:top w:val="single" w:color="000000" w:themeColor="light1" w:sz="4" w:space="0"/>
        </w:tcBorders>
      </w:tcPr>
    </w:tblStylePr>
  </w:style>
  <w:style w:type="table" w:styleId="90">
    <w:name w:val="Grid Table 5 Dark - Accent 6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91">
    <w:name w:val="Grid Table 6 Colorful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92">
    <w:name w:val="Grid Table 6 Colorful - Accent 1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tcPr>
        <w:shd w:val="clear" w:color="ffffff" w:themeColor="accent1" w:themeTint="34" w:fill="d9e2f2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664a9" w:themeColor="accent1" w:themeTint="80" w:themeShade="95"/>
      </w:rPr>
    </w:tblStylePr>
    <w:tblStylePr w:type="firstRow">
      <w:rPr>
        <w:b/>
        <w:color w:val="3664a9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664a9" w:themeColor="accent1" w:themeTint="80" w:themeShade="95"/>
      </w:rPr>
    </w:tblStylePr>
    <w:tblStylePr w:type="lastRow">
      <w:rPr>
        <w:b/>
        <w:color w:val="3664a9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93">
    <w:name w:val="Grid Table 6 Colorful - Accent 2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94">
    <w:name w:val="Grid Table 6 Colorful - Accent 3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95">
    <w:name w:val="Grid Table 6 Colorful - Accent 4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96">
    <w:name w:val="Grid Table 6 Colorful - Accent 5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tcPr>
        <w:shd w:val="clear" w:color="ffffff" w:themeColor="accent5" w:themeTint="34" w:fill="ddebf6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45d8d" w:themeColor="accent5" w:themeShade="95"/>
      </w:rPr>
    </w:tblStylePr>
    <w:tblStylePr w:type="firstRow">
      <w:rPr>
        <w:b/>
        <w:color w:val="245d8d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45d8d" w:themeColor="accent5" w:themeShade="95"/>
      </w:rPr>
    </w:tblStylePr>
    <w:tblStylePr w:type="lastRow">
      <w:rPr>
        <w:b/>
        <w:color w:val="245d8d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7">
    <w:name w:val="Grid Table 6 Colorful - Accent 6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45d8d" w:themeColor="accent5" w:themeShade="95"/>
      </w:rPr>
    </w:tblStylePr>
    <w:tblStylePr w:type="firstRow">
      <w:rPr>
        <w:b/>
        <w:color w:val="245d8d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45d8d" w:themeColor="accent5" w:themeShade="95"/>
      </w:rPr>
    </w:tblStylePr>
    <w:tblStylePr w:type="lastRow">
      <w:rPr>
        <w:b/>
        <w:color w:val="245d8d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8">
    <w:name w:val="Grid Table 7 Colorful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1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664a9" w:themeColor="accent1" w:themeTint="80" w:themeShade="95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tcPr>
        <w:shd w:val="clear" w:color="ffffff" w:themeColor="accent1" w:themeTint="34" w:fill="d9e2f2" w:themeFill="accent1" w:themeFillTint="34"/>
      </w:tcPr>
    </w:tblStylePr>
    <w:tblStylePr w:type="band2Horz">
      <w:rPr>
        <w:rFonts w:ascii="Liberation Sans" w:hAnsi="Liberation Sans"/>
        <w:color w:val="3664a9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664a9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3664a9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664a9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3664a9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2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c95712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3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Liberation Sans" w:hAnsi="Liberation Sans"/>
        <w:color w:val="606060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606060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Liberation Sans" w:hAnsi="Liberation Sans"/>
        <w:i/>
        <w:color w:val="606060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4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Liberation Sans" w:hAnsi="Liberation Sans"/>
        <w:color w:val="cd9600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5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45d8d" w:themeColor="accent5" w:themeShade="95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tcPr>
        <w:shd w:val="clear" w:color="ffffff" w:themeColor="accent5" w:themeTint="34" w:fill="ddebf6" w:themeFill="accent5" w:themeFillTint="34"/>
      </w:tcPr>
    </w:tblStylePr>
    <w:tblStylePr w:type="band2Horz">
      <w:rPr>
        <w:rFonts w:ascii="Liberation Sans" w:hAnsi="Liberation Sans"/>
        <w:color w:val="245d8d" w:themeColor="accent5" w:themeShade="95"/>
        <w:sz w:val="22"/>
      </w:rPr>
    </w:tblStylePr>
    <w:tblStylePr w:type="firstCol">
      <w:rPr>
        <w:rFonts w:ascii="Liberation Sans" w:hAnsi="Liberation Sans"/>
        <w:i/>
        <w:color w:val="245d8d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45d8d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45d8d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245d8d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4">
    <w:name w:val="Grid Table 7 Colorful - Accent 6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Liberation Sans" w:hAnsi="Liberation Sans"/>
        <w:color w:val="426429" w:themeColor="accent6" w:themeShade="95"/>
        <w:sz w:val="22"/>
      </w:rPr>
    </w:tblStylePr>
    <w:tblStylePr w:type="firstCol">
      <w:rPr>
        <w:rFonts w:ascii="Liberation Sans" w:hAnsi="Liberation Sans"/>
        <w:i/>
        <w:color w:val="426429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26429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5">
    <w:name w:val="List Table 1 Light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1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cfdcf0" w:themeFill="accent1" w:themeFillTint="40"/>
      </w:tcPr>
    </w:tblStylePr>
    <w:tblStylePr w:type="band1Vert">
      <w:tcPr>
        <w:shd w:val="clear" w:color="ffffff" w:themeColor="accent1" w:themeTint="40" w:fill="cfdcf0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2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3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4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5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5e6f4" w:themeFill="accent5" w:themeFillTint="40"/>
      </w:tcPr>
    </w:tblStylePr>
    <w:tblStylePr w:type="band1Vert">
      <w:tcPr>
        <w:shd w:val="clear" w:color="ffffff" w:themeColor="accent5" w:themeTint="40" w:fill="d5e6f4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1 Light - Accent 6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2">
    <w:name w:val="List Table 2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3">
    <w:name w:val="List Table 2 - Accent 1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4">
    <w:name w:val="List Table 2 - Accent 2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5">
    <w:name w:val="List Table 2 - Accent 3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6">
    <w:name w:val="List Table 2 - Accent 4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7">
    <w:name w:val="List Table 2 - Accent 5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8">
    <w:name w:val="List Table 2 - Accent 6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9">
    <w:name w:val="List Table 3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1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2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3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4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5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9cc4e5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3 - Accent 6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1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2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3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4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5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4 - Accent 6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3">
    <w:name w:val="List Table 5 Dark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4">
    <w:name w:val="List Table 5 Dark - Accent 1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472c4" w:themeFill="accent1"/>
    </w:tblPr>
    <w:tblStylePr w:type="band1Horz">
      <w:tcPr>
        <w:shd w:val="clear" w:color="ffffff" w:themeColor="accent1" w:fill="4472c4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472c4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472c4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4472c4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5">
    <w:name w:val="List Table 5 Dark - Accent 2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6">
    <w:name w:val="List Table 5 Dark - Accent 3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7">
    <w:name w:val="List Table 5 Dark - Accent 4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8">
    <w:name w:val="List Table 5 Dark - Accent 5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cc4e5" w:themeFill="accent5" w:themeFillTint="9A"/>
    </w:tblPr>
    <w:tblStylePr w:type="band1Horz">
      <w:tcPr>
        <w:shd w:val="clear" w:color="ffffff" w:themeColor="accent5" w:themeTint="9A" w:fill="9cc4e5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cc4e5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cc4e5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9cc4e5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9">
    <w:name w:val="List Table 5 Dark - Accent 6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40">
    <w:name w:val="List Table 6 Colorful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1">
    <w:name w:val="List Table 6 Colorful - Accent 1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tcPr>
        <w:shd w:val="clear" w:color="ffffff" w:themeColor="accent1" w:themeTint="40" w:fill="cfdcf0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254374" w:themeColor="accent1" w:themeShade="95"/>
      </w:rPr>
    </w:tblStylePr>
    <w:tblStylePr w:type="firstRow">
      <w:rPr>
        <w:b/>
        <w:color w:val="254374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54374" w:themeColor="accent1" w:themeShade="95"/>
      </w:rPr>
    </w:tblStylePr>
    <w:tblStylePr w:type="lastRow">
      <w:rPr>
        <w:b/>
        <w:color w:val="254374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2">
    <w:name w:val="List Table 6 Colorful - Accent 2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3">
    <w:name w:val="List Table 6 Colorful - Accent 3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4">
    <w:name w:val="List Table 6 Colorful - Accent 4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5">
    <w:name w:val="List Table 6 Colorful - Accent 5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tcPr>
        <w:shd w:val="clear" w:color="ffffff" w:themeColor="accent5" w:themeTint="40" w:fill="d5e6f4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2e78b1" w:themeColor="accent5" w:themeTint="9A" w:themeShade="95"/>
      </w:rPr>
    </w:tblStylePr>
    <w:tblStylePr w:type="firstRow">
      <w:rPr>
        <w:b/>
        <w:color w:val="2e78b1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2e78b1" w:themeColor="accent5" w:themeTint="9A" w:themeShade="95"/>
      </w:rPr>
    </w:tblStylePr>
    <w:tblStylePr w:type="lastRow">
      <w:rPr>
        <w:b/>
        <w:color w:val="2e78b1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6">
    <w:name w:val="List Table 6 Colorful - Accent 6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7">
    <w:name w:val="List Table 7 Colorful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148">
    <w:name w:val="List Table 7 Colorful - Accent 1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54374" w:themeColor="accent1" w:themeShade="95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tcPr>
        <w:shd w:val="clear" w:color="ffffff" w:themeColor="accent1" w:themeTint="40" w:fill="cfdcf0" w:themeFill="accent1" w:themeFillTint="40"/>
      </w:tcPr>
    </w:tblStylePr>
    <w:tblStylePr w:type="band2Horz">
      <w:rPr>
        <w:rFonts w:ascii="Liberation Sans" w:hAnsi="Liberation Sans"/>
        <w:color w:val="254374" w:themeColor="accent1" w:themeShade="95"/>
        <w:sz w:val="22"/>
      </w:rPr>
    </w:tblStylePr>
    <w:tblStylePr w:type="firstCol">
      <w:rPr>
        <w:rFonts w:ascii="Liberation Sans" w:hAnsi="Liberation Sans"/>
        <w:i/>
        <w:color w:val="254374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254374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54374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254374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254374" w:themeColor="accent1" w:themeShade="95"/>
        <w:sz w:val="22"/>
      </w:rPr>
    </w:tblStylePr>
  </w:style>
  <w:style w:type="table" w:styleId="149">
    <w:name w:val="List Table 7 Colorful - Accent 2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c95712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c95712" w:themeColor="accent2" w:themeTint="97" w:themeShade="95"/>
        <w:sz w:val="22"/>
      </w:rPr>
    </w:tblStylePr>
  </w:style>
  <w:style w:type="table" w:styleId="150">
    <w:name w:val="List Table 7 Colorful - Accent 3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757575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57575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757575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757575" w:themeColor="accent3" w:themeTint="98" w:themeShade="95"/>
        <w:sz w:val="22"/>
      </w:rPr>
    </w:tblStylePr>
  </w:style>
  <w:style w:type="table" w:styleId="151">
    <w:name w:val="List Table 7 Colorful - Accent 4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cd9600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cd9600" w:themeColor="accent4" w:themeTint="9A" w:themeShade="95"/>
        <w:sz w:val="22"/>
      </w:rPr>
    </w:tblStylePr>
  </w:style>
  <w:style w:type="table" w:styleId="152">
    <w:name w:val="List Table 7 Colorful - Accent 5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2e78b1" w:themeColor="accent5" w:themeTint="9A" w:themeShade="95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tcPr>
        <w:shd w:val="clear" w:color="ffffff" w:themeColor="accent5" w:themeTint="40" w:fill="d5e6f4" w:themeFill="accent5" w:themeFillTint="40"/>
      </w:tcPr>
    </w:tblStylePr>
    <w:tblStylePr w:type="band2Horz">
      <w:rPr>
        <w:rFonts w:ascii="Liberation Sans" w:hAnsi="Liberation Sans"/>
        <w:color w:val="2e78b1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2e78b1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2e78b1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e78b1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2e78b1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2e78b1" w:themeColor="accent5" w:themeTint="9A" w:themeShade="95"/>
        <w:sz w:val="22"/>
      </w:rPr>
    </w:tblStylePr>
  </w:style>
  <w:style w:type="table" w:styleId="153">
    <w:name w:val="List Table 7 Colorful - Accent 6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Liberation Sans" w:hAnsi="Liberation Sans"/>
        <w:color w:val="5f8f3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5f8f3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5f8f3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5f8f3c" w:themeColor="accent6" w:themeTint="98" w:themeShade="95"/>
        <w:sz w:val="22"/>
      </w:rPr>
    </w:tblStylePr>
  </w:style>
  <w:style w:type="table" w:styleId="154">
    <w:name w:val="Lined - Accent"/>
    <w:basedOn w:val="63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5">
    <w:name w:val="Lined - Accent 1"/>
    <w:basedOn w:val="63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</w:style>
  <w:style w:type="table" w:styleId="156">
    <w:name w:val="Lined - Accent 2"/>
    <w:basedOn w:val="63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57">
    <w:name w:val="Lined - Accent 3"/>
    <w:basedOn w:val="63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58">
    <w:name w:val="Lined - Accent 4"/>
    <w:basedOn w:val="63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59">
    <w:name w:val="Lined - Accent 5"/>
    <w:basedOn w:val="63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</w:style>
  <w:style w:type="table" w:styleId="160">
    <w:name w:val="Lined - Accent 6"/>
    <w:basedOn w:val="63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1">
    <w:name w:val="Bordered &amp; Lined - Accent"/>
    <w:basedOn w:val="63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2">
    <w:name w:val="Bordered &amp; Lined - Accent 1"/>
    <w:basedOn w:val="63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</w:style>
  <w:style w:type="table" w:styleId="163">
    <w:name w:val="Bordered &amp; Lined - Accent 2"/>
    <w:basedOn w:val="63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64">
    <w:name w:val="Bordered &amp; Lined - Accent 3"/>
    <w:basedOn w:val="63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65">
    <w:name w:val="Bordered &amp; Lined - Accent 4"/>
    <w:basedOn w:val="63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66">
    <w:name w:val="Bordered &amp; Lined - Accent 5"/>
    <w:basedOn w:val="63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</w:style>
  <w:style w:type="table" w:styleId="167">
    <w:name w:val="Bordered &amp; Lined - Accent 6"/>
    <w:basedOn w:val="63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8">
    <w:name w:val="Bordered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9">
    <w:name w:val="Bordered - Accent 1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70">
    <w:name w:val="Bordered - Accent 2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1">
    <w:name w:val="Bordered - Accent 3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2">
    <w:name w:val="Bordered - Accent 4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3">
    <w:name w:val="Bordered - Accent 5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4">
    <w:name w:val="Bordered - Accent 6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176">
    <w:name w:val="footnote text"/>
    <w:basedOn w:val="622"/>
    <w:link w:val="177"/>
    <w:uiPriority w:val="99"/>
    <w:semiHidden/>
    <w:unhideWhenUsed/>
    <w:pPr>
      <w:spacing w:after="40" w:line="240" w:lineRule="auto"/>
    </w:pPr>
    <w:rPr>
      <w:sz w:val="18"/>
    </w:rPr>
  </w:style>
  <w:style w:type="character" w:styleId="177">
    <w:name w:val="Footnote Text Char"/>
    <w:link w:val="176"/>
    <w:uiPriority w:val="99"/>
    <w:rPr>
      <w:sz w:val="18"/>
    </w:rPr>
  </w:style>
  <w:style w:type="character" w:styleId="178">
    <w:name w:val="footnote reference"/>
    <w:basedOn w:val="623"/>
    <w:uiPriority w:val="99"/>
    <w:unhideWhenUsed/>
    <w:rPr>
      <w:vertAlign w:val="superscript"/>
    </w:rPr>
  </w:style>
  <w:style w:type="paragraph" w:styleId="179">
    <w:name w:val="endnote text"/>
    <w:basedOn w:val="622"/>
    <w:link w:val="180"/>
    <w:uiPriority w:val="99"/>
    <w:semiHidden/>
    <w:unhideWhenUsed/>
    <w:pPr>
      <w:spacing w:after="0" w:line="240" w:lineRule="auto"/>
    </w:pPr>
    <w:rPr>
      <w:sz w:val="20"/>
    </w:rPr>
  </w:style>
  <w:style w:type="character" w:styleId="180">
    <w:name w:val="Endnote Text Char"/>
    <w:link w:val="179"/>
    <w:uiPriority w:val="99"/>
    <w:rPr>
      <w:sz w:val="20"/>
    </w:rPr>
  </w:style>
  <w:style w:type="character" w:styleId="181">
    <w:name w:val="endnote reference"/>
    <w:basedOn w:val="623"/>
    <w:uiPriority w:val="99"/>
    <w:semiHidden/>
    <w:unhideWhenUsed/>
    <w:rPr>
      <w:vertAlign w:val="superscript"/>
    </w:rPr>
  </w:style>
  <w:style w:type="paragraph" w:styleId="182">
    <w:name w:val="toc 1"/>
    <w:basedOn w:val="622"/>
    <w:next w:val="622"/>
    <w:uiPriority w:val="39"/>
    <w:unhideWhenUsed/>
    <w:pPr>
      <w:ind w:left="0" w:right="0" w:firstLine="0"/>
      <w:spacing w:after="57"/>
    </w:pPr>
  </w:style>
  <w:style w:type="paragraph" w:styleId="183">
    <w:name w:val="toc 2"/>
    <w:basedOn w:val="622"/>
    <w:next w:val="622"/>
    <w:uiPriority w:val="39"/>
    <w:unhideWhenUsed/>
    <w:pPr>
      <w:ind w:left="283" w:right="0" w:firstLine="0"/>
      <w:spacing w:after="57"/>
    </w:pPr>
  </w:style>
  <w:style w:type="paragraph" w:styleId="184">
    <w:name w:val="toc 3"/>
    <w:basedOn w:val="622"/>
    <w:next w:val="622"/>
    <w:uiPriority w:val="39"/>
    <w:unhideWhenUsed/>
    <w:pPr>
      <w:ind w:left="567" w:right="0" w:firstLine="0"/>
      <w:spacing w:after="57"/>
    </w:pPr>
  </w:style>
  <w:style w:type="paragraph" w:styleId="185">
    <w:name w:val="toc 4"/>
    <w:basedOn w:val="622"/>
    <w:next w:val="622"/>
    <w:uiPriority w:val="39"/>
    <w:unhideWhenUsed/>
    <w:pPr>
      <w:ind w:left="850" w:right="0" w:firstLine="0"/>
      <w:spacing w:after="57"/>
    </w:pPr>
  </w:style>
  <w:style w:type="paragraph" w:styleId="186">
    <w:name w:val="toc 5"/>
    <w:basedOn w:val="622"/>
    <w:next w:val="622"/>
    <w:uiPriority w:val="39"/>
    <w:unhideWhenUsed/>
    <w:pPr>
      <w:ind w:left="1134" w:right="0" w:firstLine="0"/>
      <w:spacing w:after="57"/>
    </w:pPr>
  </w:style>
  <w:style w:type="paragraph" w:styleId="187">
    <w:name w:val="toc 6"/>
    <w:basedOn w:val="622"/>
    <w:next w:val="622"/>
    <w:uiPriority w:val="39"/>
    <w:unhideWhenUsed/>
    <w:pPr>
      <w:ind w:left="1417" w:right="0" w:firstLine="0"/>
      <w:spacing w:after="57"/>
    </w:pPr>
  </w:style>
  <w:style w:type="paragraph" w:styleId="188">
    <w:name w:val="toc 7"/>
    <w:basedOn w:val="622"/>
    <w:next w:val="622"/>
    <w:uiPriority w:val="39"/>
    <w:unhideWhenUsed/>
    <w:pPr>
      <w:ind w:left="1701" w:right="0" w:firstLine="0"/>
      <w:spacing w:after="57"/>
    </w:pPr>
  </w:style>
  <w:style w:type="paragraph" w:styleId="189">
    <w:name w:val="toc 8"/>
    <w:basedOn w:val="622"/>
    <w:next w:val="622"/>
    <w:uiPriority w:val="39"/>
    <w:unhideWhenUsed/>
    <w:pPr>
      <w:ind w:left="1984" w:right="0" w:firstLine="0"/>
      <w:spacing w:after="57"/>
    </w:pPr>
  </w:style>
  <w:style w:type="paragraph" w:styleId="190">
    <w:name w:val="toc 9"/>
    <w:basedOn w:val="622"/>
    <w:next w:val="622"/>
    <w:uiPriority w:val="39"/>
    <w:unhideWhenUsed/>
    <w:pPr>
      <w:ind w:left="2268" w:right="0" w:firstLine="0"/>
      <w:spacing w:after="57"/>
    </w:pPr>
  </w:style>
  <w:style w:type="paragraph" w:styleId="191">
    <w:name w:val="TOC Heading"/>
    <w:uiPriority w:val="39"/>
    <w:unhideWhenUsed/>
  </w:style>
  <w:style w:type="paragraph" w:styleId="192">
    <w:name w:val="table of figures"/>
    <w:basedOn w:val="622"/>
    <w:next w:val="622"/>
    <w:uiPriority w:val="99"/>
    <w:unhideWhenUsed/>
    <w:pPr>
      <w:spacing w:after="0" w:afterAutospacing="0"/>
    </w:pPr>
  </w:style>
  <w:style w:type="paragraph" w:styleId="622" w:default="1">
    <w:name w:val="Normal"/>
    <w:qFormat/>
    <w:pPr>
      <w:jc w:val="left"/>
      <w:spacing w:before="0" w:after="0"/>
      <w:widowControl w:val="off"/>
    </w:pPr>
    <w:rPr>
      <w:rFonts w:ascii="Times New Roman" w:hAnsi="Times New Roman" w:eastAsia="Times New Roman" w:cs="Times New Roman"/>
      <w:color w:val="auto"/>
      <w:sz w:val="20"/>
      <w:szCs w:val="20"/>
      <w:lang w:val="ru-RU" w:eastAsia="ru-RU" w:bidi="ar-SA"/>
    </w:rPr>
  </w:style>
  <w:style w:type="character" w:styleId="623" w:default="1">
    <w:name w:val="Default Paragraph Font"/>
    <w:uiPriority w:val="1"/>
    <w:unhideWhenUsed/>
    <w:qFormat/>
  </w:style>
  <w:style w:type="character" w:styleId="624">
    <w:name w:val="Hyperlink"/>
    <w:uiPriority w:val="99"/>
    <w:unhideWhenUsed/>
    <w:rPr>
      <w:color w:val="0000ff"/>
      <w:u w:val="single"/>
    </w:rPr>
  </w:style>
  <w:style w:type="paragraph" w:styleId="625">
    <w:name w:val="Заголовок"/>
    <w:basedOn w:val="622"/>
    <w:next w:val="626"/>
    <w:qFormat/>
    <w:pPr>
      <w:keepNext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626">
    <w:name w:val="Body Text"/>
    <w:basedOn w:val="622"/>
    <w:pPr>
      <w:spacing w:before="0" w:after="140" w:line="276" w:lineRule="auto"/>
    </w:pPr>
  </w:style>
  <w:style w:type="paragraph" w:styleId="627">
    <w:name w:val="List"/>
    <w:basedOn w:val="626"/>
    <w:rPr>
      <w:rFonts w:cs="Arial Unicode MS"/>
    </w:rPr>
  </w:style>
  <w:style w:type="paragraph" w:styleId="628">
    <w:name w:val="Caption"/>
    <w:basedOn w:val="622"/>
    <w:qFormat/>
    <w:pPr>
      <w:spacing w:before="120" w:after="120"/>
      <w:suppressLineNumbers/>
    </w:pPr>
    <w:rPr>
      <w:rFonts w:cs="Arial Unicode MS"/>
      <w:i/>
      <w:iCs/>
      <w:sz w:val="24"/>
      <w:szCs w:val="24"/>
    </w:rPr>
  </w:style>
  <w:style w:type="paragraph" w:styleId="629">
    <w:name w:val="Указатель"/>
    <w:basedOn w:val="622"/>
    <w:qFormat/>
    <w:pPr>
      <w:suppressLineNumbers/>
    </w:pPr>
    <w:rPr>
      <w:rFonts w:cs="Arial Unicode MS"/>
    </w:rPr>
  </w:style>
  <w:style w:type="paragraph" w:styleId="630">
    <w:name w:val="Заголовок (user)"/>
    <w:basedOn w:val="622"/>
    <w:next w:val="626"/>
    <w:qFormat/>
    <w:pPr>
      <w:keepNext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631">
    <w:name w:val="Указатель (user)"/>
    <w:basedOn w:val="622"/>
    <w:qFormat/>
    <w:pPr>
      <w:suppressLineNumbers/>
    </w:pPr>
    <w:rPr>
      <w:rFonts w:cs="Arial Unicode MS"/>
    </w:rPr>
  </w:style>
  <w:style w:type="paragraph" w:styleId="632" w:customStyle="1">
    <w:name w:val="Обычный1"/>
    <w:qFormat/>
    <w:pPr>
      <w:jc w:val="left"/>
      <w:spacing w:before="0" w:after="0"/>
      <w:widowControl/>
    </w:pPr>
    <w:rPr>
      <w:rFonts w:ascii="Times New Roman" w:hAnsi="Times New Roman" w:eastAsia="Times New Roman" w:cs="Times New Roman"/>
      <w:color w:val="auto"/>
      <w:sz w:val="20"/>
      <w:szCs w:val="20"/>
      <w:lang w:val="ru-RU" w:eastAsia="ru-RU" w:bidi="ar-SA"/>
    </w:rPr>
  </w:style>
  <w:style w:type="paragraph" w:styleId="633" w:customStyle="1">
    <w:name w:val="ConsPlusNonformat"/>
    <w:qFormat/>
    <w:pPr>
      <w:jc w:val="left"/>
      <w:spacing w:before="0" w:after="0"/>
      <w:widowControl w:val="off"/>
    </w:pPr>
    <w:rPr>
      <w:rFonts w:ascii="Courier New" w:hAnsi="Courier New" w:eastAsia="Times New Roman" w:cs="Courier New"/>
      <w:color w:val="auto"/>
      <w:sz w:val="20"/>
      <w:szCs w:val="20"/>
      <w:lang w:val="ru-RU" w:eastAsia="ru-RU" w:bidi="ar-SA"/>
    </w:rPr>
  </w:style>
  <w:style w:type="paragraph" w:styleId="634" w:customStyle="1">
    <w:name w:val="Обычный (веб)"/>
    <w:basedOn w:val="622"/>
    <w:qFormat/>
    <w:pPr>
      <w:spacing w:before="240" w:after="240"/>
      <w:widowControl/>
    </w:pPr>
    <w:rPr>
      <w:sz w:val="24"/>
      <w:szCs w:val="24"/>
    </w:rPr>
  </w:style>
  <w:style w:type="paragraph" w:styleId="635" w:customStyle="1">
    <w:name w:val="Default"/>
    <w:qFormat/>
    <w:pPr>
      <w:jc w:val="left"/>
      <w:spacing w:before="0" w:after="0"/>
      <w:widowControl/>
    </w:pPr>
    <w:rPr>
      <w:rFonts w:ascii="Times New Roman" w:hAnsi="Times New Roman" w:eastAsia="Calibri" w:cs="Times New Roman"/>
      <w:color w:val="000000"/>
      <w:sz w:val="24"/>
      <w:szCs w:val="24"/>
      <w:lang w:val="ru-RU" w:eastAsia="ru-RU" w:bidi="ar-SA"/>
    </w:rPr>
  </w:style>
  <w:style w:type="paragraph" w:styleId="636">
    <w:name w:val="List Paragraph"/>
    <w:basedOn w:val="622"/>
    <w:uiPriority w:val="34"/>
    <w:qFormat/>
    <w:pPr>
      <w:contextualSpacing/>
      <w:ind w:left="720"/>
      <w:spacing w:before="0" w:after="0"/>
    </w:pPr>
  </w:style>
  <w:style w:type="numbering" w:styleId="637" w:default="1">
    <w:name w:val="Без списка (user)"/>
    <w:uiPriority w:val="99"/>
    <w:semiHidden/>
    <w:unhideWhenUsed/>
    <w:qFormat/>
  </w:style>
  <w:style w:type="table" w:styleId="638" w:default="1">
    <w:name w:val="Normal Table"/>
    <w:uiPriority w:val="99"/>
    <w:semiHidden/>
    <w:unhideWhenUsed/>
    <w:tblPr>
      <w:tblCellMar>
        <w:left w:w="108" w:type="dxa"/>
        <w:top w:w="0" w:type="dxa"/>
        <w:right w:w="108" w:type="dxa"/>
        <w:bottom w:w="0" w:type="dxa"/>
      </w:tblCellMar>
    </w:tblPr>
  </w:style>
  <w:style w:type="table" w:styleId="639">
    <w:name w:val="Table Grid"/>
    <w:basedOn w:val="638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1_5892" w:customStyle="1">
    <w:name w:val="Обычный (Интернет)"/>
    <w:basedOn w:val="835"/>
    <w:next w:val="848"/>
    <w:link w:val="835"/>
    <w:uiPriority w:val="99"/>
    <w:unhideWhenUsed/>
    <w:pPr>
      <w:contextualSpacing w:val="0"/>
      <w:ind w:left="0" w:right="0" w:firstLine="0"/>
      <w:jc w:val="left"/>
      <w:keepLines w:val="0"/>
      <w:keepNext w:val="0"/>
      <w:pageBreakBefore w:val="0"/>
      <w:spacing w:before="120" w:beforeAutospacing="0" w:after="120" w:afterAutospacing="0" w:line="240" w:lineRule="auto"/>
      <w:shd w:val="nil" w:color="000000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szCs w:val="24"/>
      <w:highlight w:val="none"/>
      <w:u w:val="none"/>
      <w:vertAlign w:val="baseline"/>
      <w:rtl w:val="0"/>
      <w:cs w:val="0"/>
      <w:lang w:val="ru-RU" w:eastAsia="ru-RU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yperlink" Target="https://au" TargetMode="External"/><Relationship Id="rId10" Type="http://schemas.openxmlformats.org/officeDocument/2006/relationships/hyperlink" Target="consultantplus://offline/ref=C170E87E5106903B2C2693164E83ABCA2276C913842C8ACC75FF6C560D0667AC2FE2ED39A0D15019R9r5M" TargetMode="External"/><Relationship Id="rId11" Type="http://schemas.openxmlformats.org/officeDocument/2006/relationships/image" Target="media/image1.pn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dc:description/>
  <dc:language>ru-RU</dc:language>
  <cp:lastModifiedBy>alesh</cp:lastModifiedBy>
  <cp:revision>22</cp:revision>
  <dcterms:created xsi:type="dcterms:W3CDTF">2024-09-06T16:05:00Z</dcterms:created>
  <dcterms:modified xsi:type="dcterms:W3CDTF">2026-08-07T12:05:32Z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