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6095" w:type="dxa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000" w:firstRow="0" w:lastRow="0" w:firstColumn="0" w:lastColumn="0" w:noHBand="0" w:noVBand="0"/>
      </w:tblPr>
      <w:tblGrid>
        <w:gridCol w:w="6095"/>
      </w:tblGrid>
      <w:tr>
        <w:tblPrEx/>
        <w:trPr>
          <w:trHeight w:val="1126"/>
        </w:trPr>
        <w:tc>
          <w:tcPr>
            <w:tcW w:w="6095" w:type="dxa"/>
            <w:textDirection w:val="lrTb"/>
            <w:noWrap w:val="false"/>
          </w:tcPr>
          <w:p>
            <w:pPr>
              <w:pStyle w:val="622"/>
              <w:jc w:val="right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В</w:t>
            </w:r>
            <w:r>
              <w:rPr>
                <w:sz w:val="24"/>
                <w:szCs w:val="24"/>
                <w:lang w:val="en-US"/>
              </w:rPr>
              <w:t xml:space="preserve"> Арбитражный суд Архангельской области</w:t>
            </w:r>
            <w:r>
              <w:rPr>
                <w:i/>
                <w:sz w:val="24"/>
                <w:szCs w:val="24"/>
                <w:lang w:val="en-US"/>
              </w:rPr>
            </w:r>
          </w:p>
          <w:p>
            <w:pPr>
              <w:pStyle w:val="622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622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От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финансового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управляющего</w:t>
            </w:r>
            <w:r>
              <w:rPr>
                <w:sz w:val="24"/>
                <w:szCs w:val="24"/>
                <w:lang w:val="en-US"/>
              </w:rPr>
              <w:t xml:space="preserve"> Елфимова Владимира Николаевича Косточкина Мария Васильевна</w:t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622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</w:tr>
    </w:tbl>
    <w:p>
      <w:pPr>
        <w:pStyle w:val="632"/>
        <w:ind w:left="720" w:hanging="720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Положение</w:t>
      </w:r>
      <w:r>
        <w:rPr>
          <w:b/>
          <w:sz w:val="24"/>
          <w:szCs w:val="24"/>
          <w:lang w:val="en-US"/>
        </w:rPr>
      </w:r>
    </w:p>
    <w:p>
      <w:pPr>
        <w:pStyle w:val="632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порядке</w:t>
      </w:r>
      <w:r>
        <w:rPr>
          <w:b/>
          <w:sz w:val="24"/>
          <w:szCs w:val="24"/>
          <w:lang w:val="en-US"/>
        </w:rPr>
        <w:t xml:space="preserve">, </w:t>
      </w:r>
      <w:r>
        <w:rPr>
          <w:b/>
          <w:sz w:val="24"/>
          <w:szCs w:val="24"/>
        </w:rPr>
        <w:t xml:space="preserve">об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условиях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и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сроках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реализации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имущества</w:t>
      </w:r>
      <w:r>
        <w:rPr>
          <w:b/>
          <w:sz w:val="24"/>
          <w:szCs w:val="24"/>
          <w:lang w:val="en-US"/>
        </w:rPr>
        <w:t xml:space="preserve"> Елфимова Владимира Николаевича</w:t>
      </w:r>
      <w:r>
        <w:rPr>
          <w:b/>
          <w:sz w:val="24"/>
          <w:szCs w:val="24"/>
          <w:lang w:val="en-US"/>
        </w:rPr>
      </w:r>
    </w:p>
    <w:p>
      <w:pPr>
        <w:pStyle w:val="632"/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(</w:t>
      </w:r>
      <w:r>
        <w:rPr>
          <w:sz w:val="24"/>
          <w:szCs w:val="24"/>
        </w:rPr>
        <w:t xml:space="preserve">дата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рождения</w:t>
      </w:r>
      <w:r>
        <w:rPr>
          <w:sz w:val="24"/>
          <w:szCs w:val="24"/>
          <w:lang w:val="en-US"/>
        </w:rPr>
        <w:t xml:space="preserve">: 14.12.1957, </w:t>
      </w:r>
      <w:r>
        <w:rPr>
          <w:sz w:val="24"/>
          <w:szCs w:val="24"/>
        </w:rPr>
        <w:t xml:space="preserve">место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рождения</w:t>
      </w:r>
      <w:r>
        <w:rPr>
          <w:sz w:val="24"/>
          <w:szCs w:val="24"/>
          <w:lang w:val="en-US"/>
        </w:rPr>
        <w:t xml:space="preserve">: г.Архангельск, </w:t>
      </w:r>
      <w:r>
        <w:rPr>
          <w:sz w:val="24"/>
          <w:szCs w:val="24"/>
        </w:rPr>
        <w:t xml:space="preserve">СНИЛС</w:t>
      </w:r>
      <w:r>
        <w:rPr>
          <w:sz w:val="24"/>
          <w:szCs w:val="24"/>
          <w:lang w:val="en-US"/>
        </w:rPr>
        <w:t xml:space="preserve">: 137-238-979 90, </w:t>
      </w:r>
      <w:r>
        <w:rPr>
          <w:sz w:val="24"/>
          <w:szCs w:val="24"/>
        </w:rPr>
        <w:t xml:space="preserve">ИНН</w:t>
      </w:r>
      <w:r>
        <w:rPr>
          <w:sz w:val="24"/>
          <w:szCs w:val="24"/>
          <w:lang w:val="en-US"/>
        </w:rPr>
        <w:t xml:space="preserve"> 292600419921, </w:t>
      </w:r>
      <w:r>
        <w:rPr>
          <w:sz w:val="24"/>
          <w:szCs w:val="24"/>
        </w:rPr>
        <w:t xml:space="preserve">регистрация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по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месту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жительства</w:t>
      </w:r>
      <w:r>
        <w:rPr>
          <w:sz w:val="24"/>
          <w:szCs w:val="24"/>
          <w:lang w:val="en-US"/>
        </w:rPr>
        <w:t xml:space="preserve">: г.Архангельск, ул.Воскресенская, д.105, корп.3, кв.9)</w:t>
      </w:r>
      <w:r>
        <w:rPr>
          <w:sz w:val="24"/>
          <w:szCs w:val="24"/>
          <w:lang w:val="en-US"/>
        </w:rPr>
      </w:r>
    </w:p>
    <w:tbl>
      <w:tblPr>
        <w:tblW w:w="9345" w:type="dxa"/>
        <w:jc w:val="center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45"/>
        <w:gridCol w:w="850"/>
        <w:gridCol w:w="7649"/>
      </w:tblGrid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5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622"/>
            </w:pPr>
            <w:r>
              <w:t xml:space="preserve">Сведения об имуществе и порядке ознакомления с ним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49" w:type="dxa"/>
            <w:textDirection w:val="lrTb"/>
            <w:noWrap w:val="false"/>
          </w:tcPr>
          <w:tbl>
            <w:tblPr>
              <w:tblW w:w="7590" w:type="dxa"/>
              <w:tblInd w:w="0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490"/>
              <w:gridCol w:w="3093"/>
              <w:gridCol w:w="948"/>
              <w:gridCol w:w="3059"/>
            </w:tblGrid>
            <w:tr>
              <w:tblPrEx/>
              <w:trPr/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90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№ </w:t>
                  </w:r>
                  <w:r>
                    <w:t xml:space="preserve">лота</w:t>
                  </w: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93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Описание, характеристика имущества</w:t>
                  </w: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48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59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/>
              <w:trPr/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90" w:type="dxa"/>
                  <w:textDirection w:val="lrTb"/>
                  <w:noWrap w:val="false"/>
                </w:tcPr>
                <w:p>
                  <w:pPr>
                    <w:pStyle w:val="636"/>
                    <w:numPr>
                      <w:ilvl w:val="0"/>
                      <w:numId w:val="1"/>
                    </w:numPr>
                    <w:jc w:val="center"/>
                  </w:pPr>
                  <w:r/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93" w:type="dxa"/>
                  <w:textDirection w:val="lrTb"/>
                  <w:noWrap w:val="false"/>
                </w:tcPr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t xml:space="preserve">Кадастровый номер: 31:16:0113004:50</w:t>
                    <w:br/>
                    <w:t xml:space="preserve">Местоположение: установлено относительно ориентира г. Белгород, с/т "Котельщик", № 557, расположенног</w:t>
                  </w:r>
                  <w:r>
                    <w:t xml:space="preserve">о в границах участка.</w:t>
                    <w:br/>
                    <w:t xml:space="preserve">Категория земель:</w:t>
                    <w:br/>
                    <w:t xml:space="preserve">Земли населенных пунктов (весь участок).</w:t>
                    <w:br/>
                    <w:t xml:space="preserve">Разрешенное использование: для садоводства.</w:t>
                    <w:br/>
                    <w:t xml:space="preserve">Фактическое использование / характеристика деятельности: -</w:t>
                    <w:br/>
                    <w:t xml:space="preserve">Площадь: 720 кв.м.</w:t>
                    <w:br/>
                    <w:t xml:space="preserve">Кадастровая стоимость: 149 788,80 руб.</w:t>
                  </w:r>
                  <w:r>
                    <w:br/>
                    <w:t xml:space="preserve">Сведения о правах:</w:t>
                    <w:br/>
                    <w:t xml:space="preserve">Вид права: собственность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22"/>
                    <w:jc w:val="center"/>
                  </w:pPr>
                  <w:r/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48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59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/>
                  <w:r>
                    <w:t xml:space="preserve">149 788</w:t>
                  </w:r>
                  <w:r/>
                  <w:r/>
                  <w:r/>
                </w:p>
              </w:tc>
            </w:tr>
          </w:tbl>
          <w:p>
            <w:pPr>
              <w:pStyle w:val="622"/>
            </w:pPr>
            <w:r>
              <w:t xml:space="preserve">Ознакомление с имуществом производится по адресу: </w:t>
            </w:r>
            <w:r/>
            <w:r>
              <w:t xml:space="preserve"> г. Белгород, с/т "Котельщик", № 557, расположенног</w:t>
            </w:r>
            <w:r>
              <w:t xml:space="preserve">о в границах участка.</w:t>
            </w:r>
            <w:r/>
            <w:r/>
            <w:r>
              <w:t xml:space="preserve">, с момента публикации сообщ</w:t>
            </w:r>
            <w:r>
              <w:t xml:space="preserve">ения о продаже имущества и до окончания приема заявок по предварительной записи по телефону:</w:t>
            </w:r>
            <w:r>
              <w:t xml:space="preserve"> </w:t>
            </w:r>
            <w:r>
              <w:t xml:space="preserve">89600</w:t>
            </w:r>
            <w:r>
              <w:t xml:space="preserve">091050</w:t>
            </w:r>
            <w:r/>
            <w:r/>
          </w:p>
          <w:p>
            <w:pPr>
              <w:pStyle w:val="622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5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2.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622"/>
            </w:pPr>
            <w:r>
              <w:t xml:space="preserve">Сроки продажи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49" w:type="dxa"/>
            <w:textDirection w:val="lrTb"/>
            <w:noWrap w:val="false"/>
          </w:tcPr>
          <w:p>
            <w:pPr>
              <w:pStyle w:val="622"/>
            </w:pPr>
            <w:r/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5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3.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622"/>
            </w:pPr>
            <w:r>
              <w:t xml:space="preserve">Организатор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49" w:type="dxa"/>
            <w:textDirection w:val="lrTb"/>
            <w:noWrap w:val="false"/>
          </w:tcPr>
          <w:p>
            <w:pPr>
              <w:pStyle w:val="622"/>
            </w:pPr>
            <w:r>
              <w:t xml:space="preserve">Финансовый управляющий Елфимова Владимира Николаевича Косточкина Мария Васильевна, действующий на основании решения Арбитражный суд Архангельской области от 08.04.2026 г. по делу № № А05-16197/2025</w:t>
            </w:r>
            <w:r/>
          </w:p>
          <w:p>
            <w:pPr>
              <w:pStyle w:val="622"/>
            </w:pPr>
            <w:r>
              <w:t xml:space="preserve">Организатор торгов выполняет следующие функции:</w:t>
            </w:r>
            <w:r/>
          </w:p>
          <w:p>
            <w:pPr>
              <w:pStyle w:val="622"/>
            </w:pPr>
            <w:r>
              <w:t xml:space="preserve">- опубликовывает и размещает сообщение о продаже имущества и сообщение о результатах проведения торгов;</w:t>
            </w:r>
            <w:r/>
          </w:p>
          <w:p>
            <w:pPr>
              <w:pStyle w:val="622"/>
            </w:pPr>
            <w:r>
              <w:t xml:space="preserve">- определяет участников торгов;</w:t>
            </w:r>
            <w:r/>
          </w:p>
          <w:p>
            <w:pPr>
              <w:pStyle w:val="622"/>
            </w:pPr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pStyle w:val="622"/>
            </w:pPr>
            <w:r>
              <w:t xml:space="preserve">- уведомляет заявителей и участников торгов о результатах проведения торгов.</w:t>
            </w:r>
            <w:r/>
          </w:p>
          <w:p>
            <w:pPr>
              <w:pStyle w:val="622"/>
            </w:pPr>
            <w:r>
              <w:t xml:space="preserve">Сведения об организаторе торгов:</w:t>
            </w:r>
            <w:r/>
          </w:p>
          <w:p>
            <w:pPr>
              <w:pStyle w:val="622"/>
            </w:pPr>
            <w:r>
              <w:t xml:space="preserve">- почтовый адрес: 163046, Архангельская область, Архангельск, Воскресенская, 59, 2 этаж</w:t>
            </w:r>
            <w:r/>
          </w:p>
          <w:p>
            <w:pPr>
              <w:pStyle w:val="622"/>
            </w:pPr>
            <w:r>
              <w:t xml:space="preserve">- адрес электронной почты: mkostochkina00@mail.ru</w:t>
            </w:r>
            <w:r/>
          </w:p>
          <w:p>
            <w:pPr>
              <w:pStyle w:val="622"/>
            </w:pPr>
            <w:r>
              <w:t xml:space="preserve">- контактный номер: </w:t>
            </w:r>
            <w:r>
              <w:t xml:space="preserve">89600</w:t>
            </w:r>
            <w:r>
              <w:t xml:space="preserve">091050</w:t>
            </w:r>
            <w:r/>
            <w:r/>
            <w:r/>
          </w:p>
        </w:tc>
      </w:tr>
      <w:tr>
        <w:tblPrEx/>
        <w:trPr>
          <w:trHeight w:val="283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5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4.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622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49" w:type="dxa"/>
            <w:textDirection w:val="lrTb"/>
            <w:noWrap w:val="false"/>
          </w:tcPr>
          <w:p>
            <w:pPr>
              <w:pStyle w:val="622"/>
            </w:pPr>
            <w:r>
              <w:t xml:space="preserve">Продажа имущества должника осуществляется путем проведения открытых торгов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  <w:r/>
          </w:p>
          <w:p>
            <w:pPr>
              <w:pStyle w:val="622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5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5.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622"/>
            </w:pPr>
            <w:r>
              <w:t xml:space="preserve">Место проведения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49" w:type="dxa"/>
            <w:textDirection w:val="lrTb"/>
            <w:noWrap w:val="false"/>
          </w:tcPr>
          <w:p>
            <w:pPr>
              <w:pStyle w:val="622"/>
            </w:pPr>
            <w:r>
              <w:t xml:space="preserve">Торги проводятся в электронной форме на </w:t>
            </w:r>
            <w:r>
              <w:t xml:space="preserve">электронной </w:t>
            </w:r>
            <w:r>
              <w:t xml:space="preserve">площадке «АукционПРО», размещенной на сайте </w:t>
            </w:r>
            <w:hyperlink r:id="rId9" w:tooltip="https://au" w:history="1">
              <w:r>
                <w:rPr>
                  <w:rStyle w:val="624"/>
                </w:rPr>
                <w:t xml:space="preserve">https://</w:t>
              </w:r>
              <w:r>
                <w:rPr>
                  <w:rStyle w:val="624"/>
                </w:rPr>
                <w:t xml:space="preserve">a</w:t>
              </w:r>
              <w:r>
                <w:rPr>
                  <w:rStyle w:val="624"/>
                </w:rPr>
                <w:t xml:space="preserve">u</w:t>
              </w:r>
              <w:r>
                <w:rPr>
                  <w:rStyle w:val="624"/>
                </w:rPr>
              </w:r>
            </w:hyperlink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.ru/ в сети Интернет.</w:t>
            </w:r>
            <w:r/>
            <w:r/>
          </w:p>
          <w:p>
            <w:pPr>
              <w:pStyle w:val="622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5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6.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622"/>
            </w:pPr>
            <w:r>
              <w:t xml:space="preserve">Размер задатка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49" w:type="dxa"/>
            <w:textDirection w:val="lrTb"/>
            <w:noWrap w:val="false"/>
          </w:tcPr>
          <w:p>
            <w:pPr>
              <w:pStyle w:val="622"/>
            </w:pPr>
            <w:r>
              <w:t xml:space="preserve">Лот № 1: </w:t>
            </w:r>
            <w:r>
              <w:t xml:space="preserve">10 %</w:t>
            </w:r>
            <w:r/>
            <w:r/>
          </w:p>
          <w:p>
            <w:pPr>
              <w:pStyle w:val="622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5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7.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622"/>
            </w:pPr>
            <w:r>
              <w:t xml:space="preserve">Срок и порядок внесения задатка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49" w:type="dxa"/>
            <w:textDirection w:val="lrTb"/>
            <w:noWrap w:val="false"/>
          </w:tcPr>
          <w:p>
            <w:pPr>
              <w:pStyle w:val="622"/>
            </w:pPr>
            <w:r>
              <w:t xml:space="preserve">1. Срок внесения задатка - </w:t>
            </w:r>
            <w:r>
              <w:t xml:space="preserve">не позднее даты окончания срока приема заявок</w:t>
            </w:r>
            <w:r>
              <w:t xml:space="preserve"> на участие в торгах</w:t>
            </w:r>
            <w:r>
              <w:t xml:space="preserve">. </w:t>
            </w:r>
            <w:r/>
          </w:p>
          <w:p>
            <w:pPr>
              <w:pStyle w:val="622"/>
            </w:pPr>
            <w:r>
              <w:t xml:space="preserve">2. Внесение задатка осуществляется по следующим реквизитам: </w:t>
            </w:r>
            <w:r/>
          </w:p>
          <w:p>
            <w:pPr>
              <w:pStyle w:val="622"/>
              <w:rPr>
                <w:highlight w:val="none"/>
                <w:lang w:val="en-US"/>
              </w:rPr>
            </w:pPr>
            <w:r>
              <w:t xml:space="preserve">Получатель</w:t>
            </w:r>
            <w:r>
              <w:rPr>
                <w:lang w:val="en-US"/>
              </w:rPr>
              <w:t xml:space="preserve">: </w:t>
            </w:r>
            <w:r>
              <w:rPr>
                <w:highlight w:val="none"/>
                <w:lang w:val="en-US"/>
              </w:rPr>
            </w:r>
          </w:p>
          <w:p>
            <w:pPr>
              <w:rPr>
                <w:lang w:val="en-US"/>
              </w:rPr>
            </w:pPr>
            <w:r>
              <w:rPr>
                <w:highlight w:val="none"/>
                <w:lang w:val="en-US"/>
              </w:rPr>
            </w:r>
            <w:r>
              <w:t xml:space="preserve">Валюта получаемого перевода: Российский рубль (RUB)</w:t>
              <w:br/>
              <w:t xml:space="preserve">Получатель: Елфимов Владимир Николаевич</w:t>
              <w:br/>
              <w:t xml:space="preserve">Номер счёта: 40817810450225419669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544543</w:t>
            </w:r>
            <w:r>
              <w:t xml:space="preserve">001</w:t>
            </w:r>
            <w:r>
              <w:rPr>
                <w:highlight w:val="none"/>
                <w:lang w:val="en-US"/>
              </w:rPr>
            </w:r>
            <w:r>
              <w:rPr>
                <w:highlight w:val="none"/>
                <w:lang w:val="en-US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5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8.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622"/>
            </w:pPr>
            <w:r>
              <w:t xml:space="preserve">Шаг аукциона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49" w:type="dxa"/>
            <w:textDirection w:val="lrTb"/>
            <w:noWrap w:val="false"/>
          </w:tcPr>
          <w:p>
            <w:pPr>
              <w:pStyle w:val="622"/>
            </w:pPr>
            <w:r>
              <w:t xml:space="preserve">Лот № 1:  от начальной цены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5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9.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622"/>
            </w:pPr>
            <w:r>
              <w:t xml:space="preserve">Сообщение о продаже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49" w:type="dxa"/>
            <w:textDirection w:val="lrTb"/>
            <w:noWrap w:val="false"/>
          </w:tcPr>
          <w:p>
            <w:pPr>
              <w:pStyle w:val="622"/>
              <w:rPr>
                <w14:ligatures w14:val="none"/>
              </w:rPr>
            </w:pPr>
            <w: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t xml:space="preserve">ий о банкротстве не позднее, чем за 30 дней до даты проведения торгов</w:t>
            </w:r>
            <w:r>
              <w:t xml:space="preserve">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Текст сообщения должен содержать следующие сведения: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порядок, место, срок и время представления заявок на участие в торгах и</w:t>
            </w:r>
            <w: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t xml:space="preserve">вления указанных предложений); 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размер задатка, сроки и порядок внесения задатка, реквизиты счетов, на которые вноси</w:t>
            </w:r>
            <w:r>
              <w:t xml:space="preserve">тся задаток;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начальная цена 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величина повышения начальной цены продажи имущества ("шаг аукциона");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порядок и критерии выявления победит</w:t>
            </w:r>
            <w:r>
              <w:t xml:space="preserve">еля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дата, время и место подведения результатов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порядок и срок заключения договора купли-продажи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сроки платежей, реквизиты счетов, на которые вносятся платежи;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сведения об организаторе торгов, его почтовый адрес, адрес электронной почты, номер контактного телефона.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</w:pP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5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10.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622"/>
            </w:pPr>
            <w:r>
              <w:t xml:space="preserve">Заявка на участие в торгах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49" w:type="dxa"/>
            <w:textDirection w:val="lrTb"/>
            <w:noWrap w:val="false"/>
          </w:tcPr>
          <w:p>
            <w:pPr>
              <w:pStyle w:val="622"/>
            </w:pPr>
            <w: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/>
            <w:r/>
          </w:p>
          <w:p>
            <w:pPr>
              <w:pStyle w:val="622"/>
            </w:pPr>
            <w:r>
              <w:t xml:space="preserve">а) наименование, организационно-правовая форма, место нахождения, почтовый адрес заявителя (для юридического лица);</w:t>
            </w:r>
            <w:r/>
            <w:r/>
          </w:p>
          <w:p>
            <w:pPr>
              <w:pStyle w:val="622"/>
            </w:pPr>
            <w:r>
              <w:t xml:space="preserve">б) фамилия, имя, отчество, паспо</w:t>
            </w:r>
            <w:r>
              <w:t xml:space="preserve">ртные данные, сведения о месте жительства заявителя (для физического лица);</w:t>
            </w:r>
            <w:r/>
            <w:r/>
          </w:p>
          <w:p>
            <w:pPr>
              <w:pStyle w:val="622"/>
            </w:pPr>
            <w:r>
              <w:t xml:space="preserve">в) номер контактного телефона, адрес электронной почты заявителя; </w:t>
            </w:r>
            <w:r/>
            <w:r/>
          </w:p>
          <w:p>
            <w:pPr>
              <w:pStyle w:val="622"/>
            </w:pPr>
            <w:r>
              <w:t xml:space="preserve">г) сведения о наличии или об отсутствии заинтересованности заявителя по отношению к должнику, кредиторам</w:t>
            </w:r>
            <w:r>
              <w:t xml:space="preserve">, арбит</w:t>
            </w:r>
            <w:r>
              <w:t xml:space="preserve">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/>
            <w:r/>
          </w:p>
          <w:p>
            <w:pPr>
              <w:pStyle w:val="622"/>
            </w:pPr>
            <w: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  <w:r/>
            <w:r/>
          </w:p>
          <w:p>
            <w:pPr>
              <w:pStyle w:val="622"/>
            </w:pPr>
            <w:r>
              <w:t xml:space="preserve">Для участия в от</w:t>
            </w:r>
            <w:r>
              <w:t xml:space="preserve">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</w:t>
            </w:r>
            <w:r>
              <w:t xml:space="preserve">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</w:t>
            </w:r>
            <w:r>
              <w:t xml:space="preserve">тся акцептом д</w:t>
            </w:r>
            <w:r>
              <w:t xml:space="preserve">оговора о задатке.</w:t>
            </w:r>
            <w:r/>
            <w:r/>
          </w:p>
          <w:p>
            <w:pPr>
              <w:pStyle w:val="622"/>
            </w:pPr>
            <w:r>
              <w:t xml:space="preserve">Заявит</w:t>
            </w:r>
            <w:r>
              <w:t xml:space="preserve">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  <w:r/>
            <w:r/>
          </w:p>
          <w:p>
            <w:pPr>
              <w:pStyle w:val="622"/>
            </w:pPr>
            <w: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  <w:r/>
            <w:r/>
          </w:p>
          <w:p>
            <w:pPr>
              <w:pStyle w:val="622"/>
            </w:pPr>
            <w:r>
              <w:t xml:space="preserve">В течение тридцати мин</w:t>
            </w:r>
            <w:r>
              <w:t xml:space="preserve">ут с момента представления заявки на участие в торгах такая заявка с помощью программно-аппа</w:t>
            </w:r>
            <w:r>
              <w:t xml:space="preserve">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/>
            <w:r/>
          </w:p>
          <w:p>
            <w:pPr>
              <w:pStyle w:val="622"/>
            </w:pP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5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11.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622"/>
            </w:pPr>
            <w:r>
              <w:t xml:space="preserve">Срок представления заявок на участие в торгах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49" w:type="dxa"/>
            <w:textDirection w:val="lrTb"/>
            <w:noWrap w:val="false"/>
          </w:tcPr>
          <w:p>
            <w:pPr>
              <w:pStyle w:val="622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  <w:r/>
          </w:p>
          <w:p>
            <w:pPr>
              <w:pStyle w:val="622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5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12.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622"/>
            </w:pPr>
            <w:r>
              <w:t xml:space="preserve">Определение участников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49" w:type="dxa"/>
            <w:textDirection w:val="lrTb"/>
            <w:noWrap w:val="false"/>
          </w:tcPr>
          <w:p>
            <w:pPr>
              <w:pStyle w:val="622"/>
            </w:pPr>
            <w:r>
              <w:t xml:space="preserve">Не позднее тридцати минут после окон</w:t>
            </w:r>
            <w:r>
              <w:t xml:space="preserve">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  <w:r/>
            <w:r/>
          </w:p>
          <w:p>
            <w:pPr>
              <w:pStyle w:val="622"/>
            </w:pPr>
            <w:r>
              <w:t xml:space="preserve"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</w:t>
            </w:r>
            <w:r>
              <w:t xml:space="preserve">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  <w:r/>
            <w:r/>
          </w:p>
          <w:p>
            <w:pPr>
              <w:pStyle w:val="622"/>
            </w:pPr>
            <w:r>
              <w:t xml:space="preserve">В течение пяти календарн</w:t>
            </w:r>
            <w:r>
              <w:t xml:space="preserve">ых дней со дня подписания и направления протокола об определении </w:t>
            </w:r>
            <w:r>
              <w:t xml:space="preserve">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</w:t>
            </w:r>
            <w:r>
              <w:t xml:space="preserve">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/>
            <w:r/>
          </w:p>
          <w:p>
            <w:pPr>
              <w:pStyle w:val="622"/>
            </w:pPr>
            <w:r>
              <w:t xml:space="preserve">К участи</w:t>
            </w:r>
            <w:r>
              <w:t xml:space="preserve">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  <w:r/>
            <w:r/>
          </w:p>
          <w:p>
            <w:pPr>
              <w:pStyle w:val="622"/>
            </w:pPr>
            <w:r>
              <w:t xml:space="preserve">Решение об отказе</w:t>
            </w:r>
            <w:r>
              <w:t xml:space="preserve"> в допуске заявителя к участию в торгах принимается в случае, если:</w:t>
            </w:r>
            <w:r/>
            <w:r/>
          </w:p>
          <w:p>
            <w:pPr>
              <w:pStyle w:val="622"/>
            </w:pPr>
            <w:r>
              <w:t xml:space="preserve">- заявка на участие в торгах не соответствует требованиям, указанным в сообщении о проведении торгов;</w:t>
            </w:r>
            <w:r/>
            <w:r/>
          </w:p>
          <w:p>
            <w:pPr>
              <w:pStyle w:val="622"/>
            </w:pPr>
            <w:r>
              <w:t xml:space="preserve">- представленные з</w:t>
            </w:r>
            <w:r>
              <w:t xml:space="preserve">аявителем документы не соответствуют установленным к ним требованиям или недостоверны;</w:t>
            </w:r>
            <w:r/>
            <w:r/>
          </w:p>
          <w:p>
            <w:pPr>
              <w:pStyle w:val="622"/>
            </w:pPr>
            <w:r>
      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  <w:r/>
            <w:r/>
          </w:p>
          <w:p>
            <w:pPr>
              <w:pStyle w:val="622"/>
            </w:pP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5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13.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622"/>
            </w:pPr>
            <w:r>
              <w:t xml:space="preserve">Порядок проведения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49" w:type="dxa"/>
            <w:textDirection w:val="lrTb"/>
            <w:noWrap w:val="false"/>
          </w:tcPr>
          <w:p>
            <w:pPr>
              <w:pStyle w:val="622"/>
            </w:pPr>
            <w:r>
              <w:t xml:space="preserve"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  <w:r/>
            <w:r/>
          </w:p>
          <w:p>
            <w:pPr>
              <w:pStyle w:val="622"/>
            </w:pPr>
            <w: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>
              <w:t xml:space="preserve"> с указанием точного времени их поступления, а также времени, оставшегося до истечения срока представления таких предложений. </w:t>
            </w:r>
            <w:r/>
            <w:r/>
          </w:p>
          <w:p>
            <w:pPr>
              <w:pStyle w:val="622"/>
            </w:pPr>
            <w:r>
              <w:t xml:space="preserve">Торги проводятся путем повышения начальной цены продажи имущества на величину, равную "шагу </w:t>
            </w:r>
            <w:r>
              <w:t xml:space="preserve">аукциона".</w:t>
            </w:r>
            <w:r/>
            <w:r/>
          </w:p>
          <w:p>
            <w:pPr>
              <w:pStyle w:val="622"/>
            </w:pPr>
            <w:r>
              <w:t xml:space="preserve"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</w:t>
            </w:r>
            <w:r>
              <w:t xml:space="preserve">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</w:t>
            </w:r>
            <w:r>
              <w:t xml:space="preserve">ать минут с момента представления каждого из таких предложений.</w:t>
            </w:r>
            <w:r/>
            <w:r/>
          </w:p>
          <w:p>
            <w:pPr>
              <w:pStyle w:val="622"/>
            </w:pPr>
            <w:r>
              <w:t xml:space="preserve"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  <w:r/>
            <w:r/>
          </w:p>
          <w:p>
            <w:pPr>
              <w:pStyle w:val="622"/>
            </w:pPr>
            <w:r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  <w:r/>
            <w:r/>
          </w:p>
          <w:p>
            <w:pPr>
              <w:pStyle w:val="622"/>
            </w:pPr>
            <w:r>
              <w:t xml:space="preserve">а) предложение</w:t>
            </w:r>
            <w:r>
              <w:t xml:space="preserve"> о цене представлен</w:t>
            </w:r>
            <w:r>
              <w:t xml:space="preserve">о по истечении установленного срока представления предложений о цене;</w:t>
            </w:r>
            <w:r/>
            <w:r/>
          </w:p>
          <w:p>
            <w:pPr>
              <w:pStyle w:val="622"/>
            </w:pPr>
            <w:r>
              <w:t xml:space="preserve">б) предложение о цене увеличено в размере, не равном "шагу аукциона", меньше или равно ранее представленному предложению о цене;</w:t>
            </w:r>
            <w:r/>
            <w:r/>
          </w:p>
          <w:p>
            <w:pPr>
              <w:pStyle w:val="622"/>
            </w:pPr>
            <w:r>
              <w:t xml:space="preserve">в) одним участником представлено второе предложение о цене под</w:t>
            </w:r>
            <w:r>
              <w:t xml:space="preserve">ряд при отсутствии предложений других участников торгов.</w:t>
            </w:r>
            <w:r/>
            <w:r/>
          </w:p>
          <w:p>
            <w:pPr>
              <w:pStyle w:val="622"/>
            </w:pPr>
            <w:r>
              <w:t xml:space="preserve">Выигравшим аукцион признается участник, предложивший наиболее высокую цену за продаваемое имущество.</w:t>
            </w:r>
            <w:r/>
            <w:r/>
          </w:p>
          <w:p>
            <w:pPr>
              <w:pStyle w:val="622"/>
            </w:pP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5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14.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622"/>
            </w:pPr>
            <w:r>
              <w:t xml:space="preserve">Подведение результатов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49" w:type="dxa"/>
            <w:textDirection w:val="lrTb"/>
            <w:noWrap w:val="false"/>
          </w:tcPr>
          <w:p>
            <w:pPr>
              <w:pStyle w:val="622"/>
            </w:pPr>
            <w:r>
              <w:t xml:space="preserve">Не позднее тридцати минут с момента завершения торгов оператором</w:t>
            </w:r>
            <w:r>
              <w:t xml:space="preserve">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  <w:r/>
            <w:r/>
          </w:p>
          <w:p>
            <w:pPr>
              <w:pStyle w:val="622"/>
            </w:pPr>
            <w:r>
              <w:t xml:space="preserve">Организатор торгов рассматривает, подписывает квалифицир</w:t>
            </w:r>
            <w:r>
              <w:t xml:space="preserve">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</w:t>
            </w:r>
            <w:r>
              <w:t xml:space="preserve">ки протокола.</w:t>
            </w:r>
            <w:r/>
            <w:r/>
          </w:p>
          <w:p>
            <w:pPr>
              <w:pStyle w:val="622"/>
            </w:pPr>
            <w:r>
              <w:t xml:space="preserve">Протокол о результатах проведения то</w:t>
            </w:r>
            <w:r>
              <w:t xml:space="preserve">ргов размещается оператором электронной площадки на электронной площадке.</w:t>
            </w:r>
            <w:r/>
            <w:r/>
          </w:p>
          <w:p>
            <w:pPr>
              <w:pStyle w:val="622"/>
            </w:pPr>
            <w:r>
              <w:t xml:space="preserve">Не позднее тридцати минут после размещения</w:t>
            </w:r>
            <w:r>
              <w:t xml:space="preserve">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  <w:r/>
          </w:p>
          <w:p>
            <w:pPr>
              <w:pStyle w:val="622"/>
            </w:pPr>
            <w:r>
              <w:t xml:space="preserve">В случае, если не были представлены заявки на участие в торгах или к участию в торгах был</w:t>
            </w:r>
            <w:r>
              <w:t xml:space="preserve"> допущен только один участник, организатор торгов принимает реше</w:t>
            </w:r>
            <w:r>
              <w:t xml:space="preserve">ние о признании торгов несостоявшимися.</w:t>
            </w:r>
            <w:r/>
            <w:r/>
          </w:p>
          <w:p>
            <w:pPr>
              <w:pStyle w:val="622"/>
            </w:pPr>
            <w:r>
              <w:t xml:space="preserve"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/>
            <w:r/>
          </w:p>
          <w:p>
            <w:pPr>
              <w:pStyle w:val="622"/>
            </w:pPr>
            <w:r>
              <w:t xml:space="preserve">окончания срока представления заявок на участие в торгах при отсутствии заявок на участие в торгах;</w:t>
            </w:r>
            <w:r/>
            <w:r/>
          </w:p>
          <w:p>
            <w:pPr>
              <w:pStyle w:val="622"/>
            </w:pPr>
            <w:r>
              <w:t xml:space="preserve">получения от организатора торгов протокола об определении участни</w:t>
            </w:r>
            <w:r>
              <w:t xml:space="preserve">ков торгов, согласно которому к участию в торгах не допущен ни о</w:t>
            </w:r>
            <w:r>
              <w:t xml:space="preserve">дин заявитель или допущен только один участник.</w:t>
            </w:r>
            <w:r/>
            <w:r/>
          </w:p>
          <w:p>
            <w:pPr>
              <w:pStyle w:val="622"/>
            </w:pPr>
            <w:r>
              <w:t xml:space="preserve">Организат</w:t>
            </w:r>
            <w: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/>
            <w:r/>
          </w:p>
          <w:p>
            <w:pPr>
              <w:pStyle w:val="622"/>
            </w:pPr>
            <w:r>
              <w:t xml:space="preserve">Решение о признании торгов несостоявшимися размещается оператором электронной площадки на электронной площадке.</w:t>
            </w:r>
            <w:r/>
            <w:r/>
          </w:p>
          <w:p>
            <w:pPr>
              <w:pStyle w:val="622"/>
            </w:pPr>
            <w:r>
              <w:t xml:space="preserve">Не позднее тридцати ми</w:t>
            </w:r>
            <w:r>
              <w:t xml:space="preserve">нут после размеще</w:t>
            </w:r>
            <w:r>
              <w:t xml:space="preserve">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  <w:r/>
          </w:p>
          <w:p>
            <w:pPr>
              <w:pStyle w:val="622"/>
            </w:pPr>
            <w: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</w:t>
            </w:r>
            <w:r>
              <w:t xml:space="preserve">тствии с представленным им предложением о цене имущества.</w:t>
            </w:r>
            <w:r/>
            <w:r/>
          </w:p>
          <w:p>
            <w:pPr>
              <w:pStyle w:val="622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5" w:type="dxa"/>
            <w:textDirection w:val="lrTb"/>
            <w:noWrap w:val="false"/>
          </w:tcPr>
          <w:p>
            <w:pPr>
              <w:pStyle w:val="622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622"/>
            </w:pPr>
            <w:r>
              <w:t xml:space="preserve">Порядок и срок заключения договора купли-продажи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49" w:type="dxa"/>
            <w:textDirection w:val="lrTb"/>
            <w:noWrap w:val="false"/>
          </w:tcPr>
          <w:p>
            <w:pPr>
              <w:pStyle w:val="622"/>
            </w:pPr>
            <w:r>
              <w:t xml:space="preserve">В течение пяти дней</w:t>
            </w:r>
            <w:r>
              <w:t xml:space="preserve">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  <w:r/>
          </w:p>
          <w:p>
            <w:pPr>
              <w:pStyle w:val="622"/>
            </w:pPr>
            <w: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  <w:r/>
          </w:p>
          <w:p>
            <w:pPr>
              <w:pStyle w:val="622"/>
            </w:pPr>
            <w:r>
              <w:t xml:space="preserve">В случае отказа или уклонения победителя торгов от подписания договора купли-продажи</w:t>
            </w:r>
            <w:r>
              <w:t xml:space="preserve"> имущества в течение пяти дней со дня получения предложения финансового управляющего о заключении такого договора внесенный задаток ему </w:t>
            </w:r>
            <w:r>
              <w:t xml:space="preserve">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  <w:r/>
          </w:p>
          <w:p>
            <w:pPr>
              <w:pStyle w:val="622"/>
            </w:pP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5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622"/>
            </w:pPr>
            <w:r>
              <w:t xml:space="preserve">Условия возврата задатка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49" w:type="dxa"/>
            <w:textDirection w:val="lrTb"/>
            <w:noWrap w:val="false"/>
          </w:tcPr>
          <w:p>
            <w:pPr>
              <w:pStyle w:val="622"/>
            </w:pPr>
            <w:r>
              <w:t xml:space="preserve"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  <w:r/>
            <w:r/>
          </w:p>
          <w:p>
            <w:pPr>
              <w:pStyle w:val="622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5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622"/>
            </w:pPr>
            <w:r>
              <w:t xml:space="preserve">Условия оплаты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49" w:type="dxa"/>
            <w:textDirection w:val="lrTb"/>
            <w:noWrap w:val="false"/>
          </w:tcPr>
          <w:p>
            <w:pPr>
              <w:pStyle w:val="622"/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</w:t>
            </w:r>
            <w:r/>
          </w:p>
          <w:p>
            <w:pPr>
              <w:pStyle w:val="622"/>
              <w:rPr>
                <w:highlight w:val="none"/>
                <w:lang w:val="en-US"/>
              </w:rPr>
            </w:pPr>
            <w:r>
              <w:t xml:space="preserve">Получатель</w:t>
            </w:r>
            <w:r>
              <w:rPr>
                <w:lang w:val="en-US"/>
              </w:rPr>
              <w:t xml:space="preserve">: </w:t>
            </w:r>
            <w:r>
              <w:rPr>
                <w:highlight w:val="none"/>
                <w:lang w:val="en-US"/>
              </w:rPr>
            </w:r>
          </w:p>
          <w:p>
            <w:pPr>
              <w:rPr>
                <w:lang w:val="en-US"/>
              </w:rPr>
            </w:pPr>
            <w:r>
              <w:rPr>
                <w:highlight w:val="none"/>
                <w:lang w:val="en-US"/>
              </w:rPr>
            </w:r>
            <w:r>
              <w:t xml:space="preserve">Валюта получаемого перевода: Российский рубль (RUB)</w:t>
              <w:br/>
              <w:t xml:space="preserve">Получатель: Елфимов Владимир Николаевич</w:t>
              <w:br/>
              <w:t xml:space="preserve">Номер счёта: 40817810450225419669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544543</w:t>
            </w:r>
            <w:r>
              <w:t xml:space="preserve">001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highlight w:val="none"/>
                <w:lang w:val="en-US"/>
              </w:rPr>
            </w:r>
            <w:r>
              <w:rPr>
                <w:highlight w:val="none"/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622"/>
            </w:pPr>
            <w:r>
              <w:t xml:space="preserve">При 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5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622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49" w:type="dxa"/>
            <w:textDirection w:val="lrTb"/>
            <w:noWrap w:val="false"/>
          </w:tcPr>
          <w:p>
            <w:pPr>
              <w:pStyle w:val="622"/>
            </w:pPr>
            <w:r>
              <w:t xml:space="preserve">Обязательными условиями договора купли-продажи имущества являются:</w:t>
            </w:r>
            <w:r/>
          </w:p>
          <w:p>
            <w:pPr>
              <w:pStyle w:val="622"/>
            </w:pPr>
            <w:r>
              <w:t xml:space="preserve">сведения об имуществе, его составе, характеристиках, описание имущества;</w:t>
            </w:r>
            <w:r/>
          </w:p>
          <w:p>
            <w:pPr>
              <w:pStyle w:val="622"/>
            </w:pPr>
            <w:r>
              <w:t xml:space="preserve">цена продажи имущества;</w:t>
            </w:r>
            <w:r/>
          </w:p>
          <w:p>
            <w:pPr>
              <w:pStyle w:val="622"/>
            </w:pPr>
            <w:r>
              <w:t xml:space="preserve">порядок и срок передачи имущества покупателю;</w:t>
            </w:r>
            <w:r/>
          </w:p>
          <w:p>
            <w:pPr>
              <w:pStyle w:val="622"/>
            </w:pPr>
            <w:r>
              <w:t xml:space="preserve">сведения о наличии или об отсутствии обременении в отношении имущества, в том числе публичного сервитута;</w:t>
            </w:r>
            <w:r/>
          </w:p>
          <w:p>
            <w:pPr>
              <w:pStyle w:val="622"/>
            </w:pPr>
            <w:r>
              <w:t xml:space="preserve">иные предусмотренные законодательством Российской Федерации условия.</w:t>
            </w:r>
            <w:r/>
          </w:p>
          <w:p>
            <w:pPr>
              <w:pStyle w:val="622"/>
            </w:pPr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10" w:tooltip="consultantplus://offline/ref=C170E87E5106903B2C2693164E83ABCA2276C913842C8ACC75FF6C560D0667AC2FE2ED39A0D15019R9r5M" w:history="1">
              <w:r>
                <w:rPr>
                  <w:rStyle w:val="624"/>
                  <w:color w:val="auto"/>
                  <w:u w:val="none"/>
                </w:rPr>
                <w:t xml:space="preserve">законодательством</w:t>
              </w:r>
            </w:hyperlink>
            <w:r>
              <w:t xml:space="preserve"> Российской Федерации.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5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622"/>
            </w:pPr>
            <w:r>
              <w:t xml:space="preserve">Проведение повторных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49" w:type="dxa"/>
            <w:textDirection w:val="lrTb"/>
            <w:noWrap w:val="false"/>
          </w:tcPr>
          <w:p>
            <w:pPr>
              <w:pStyle w:val="622"/>
            </w:pPr>
            <w:r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</w:t>
            </w:r>
            <w:r>
              <w:t xml:space="preserve">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</w:t>
            </w:r>
            <w:r>
              <w:t xml:space="preserve">роведении повторных торгов и об установлении начальной цены продажи имущества.</w:t>
            </w:r>
            <w:r/>
            <w:r/>
          </w:p>
          <w:p>
            <w:pPr>
              <w:pStyle w:val="622"/>
            </w:pPr>
            <w:r>
              <w:t xml:space="preserve">Повторные торги проводятся в соответствии с условиями проведения первоначальных торгов.</w:t>
            </w:r>
            <w:r/>
            <w:r/>
          </w:p>
          <w:p>
            <w:pPr>
              <w:pStyle w:val="622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  <w:r/>
            <w:r/>
          </w:p>
          <w:p>
            <w:pPr>
              <w:pStyle w:val="622"/>
            </w:pP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5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622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49" w:type="dxa"/>
            <w:textDirection w:val="lrTb"/>
            <w:noWrap w:val="false"/>
          </w:tcPr>
          <w:p>
            <w:pPr>
              <w:pStyle w:val="622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  <w:r/>
          </w:p>
          <w:p>
            <w:pPr>
              <w:pStyle w:val="622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  <w:r/>
          </w:p>
          <w:p>
            <w:pPr>
              <w:pStyle w:val="622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  <w:r/>
          </w:p>
          <w:p>
            <w:pPr>
              <w:pStyle w:val="622"/>
            </w:pPr>
            <w:r>
              <w:t xml:space="preserve">Величина снижения начальной цены продажи имущества должника - 10 %.</w:t>
            </w:r>
            <w:r/>
            <w:r/>
          </w:p>
          <w:p>
            <w:pPr>
              <w:pStyle w:val="622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  <w:r/>
          </w:p>
          <w:p>
            <w:pPr>
              <w:pStyle w:val="622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  <w:r/>
          </w:p>
          <w:p>
            <w:pPr>
              <w:pStyle w:val="622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  <w:r/>
          </w:p>
          <w:p>
            <w:pPr>
              <w:pStyle w:val="622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  <w:r/>
          </w:p>
          <w:p>
            <w:pPr>
              <w:pStyle w:val="622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  <w:r/>
          </w:p>
          <w:p>
            <w:pPr>
              <w:pStyle w:val="622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  <w:r/>
          </w:p>
          <w:p>
            <w:pPr>
              <w:pStyle w:val="622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  <w:r/>
          </w:p>
          <w:p>
            <w:pPr>
              <w:pStyle w:val="622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  <w:r/>
          </w:p>
          <w:p>
            <w:pPr>
              <w:pStyle w:val="622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  <w:r/>
          </w:p>
          <w:p>
            <w:pPr>
              <w:pStyle w:val="622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22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  <w:r/>
          </w:p>
          <w:p>
            <w:pPr>
              <w:pStyle w:val="622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  <w:r/>
          </w:p>
          <w:p>
            <w:pPr>
              <w:pStyle w:val="622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22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  <w:r/>
          </w:p>
          <w:p>
            <w:pPr>
              <w:pStyle w:val="622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  <w:r/>
          </w:p>
          <w:p>
            <w:pPr>
              <w:pStyle w:val="622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  <w:r/>
          </w:p>
          <w:p>
            <w:pPr>
              <w:pStyle w:val="622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  <w:r/>
          </w:p>
          <w:p>
            <w:pPr>
              <w:pStyle w:val="622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  <w:r/>
          </w:p>
          <w:p>
            <w:pPr>
              <w:pStyle w:val="622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  <w:r/>
          </w:p>
          <w:p>
            <w:pPr>
              <w:pStyle w:val="622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  <w:r/>
          </w:p>
          <w:p>
            <w:pPr>
              <w:pStyle w:val="622"/>
            </w:pPr>
            <w:r/>
          </w:p>
        </w:tc>
      </w:tr>
    </w:tbl>
    <w:p>
      <w:pPr>
        <w:pStyle w:val="622"/>
      </w:pPr>
      <w:r/>
      <w:r/>
    </w:p>
    <w:p>
      <w:pPr>
        <w:pStyle w:val="622"/>
        <w:jc w:val="both"/>
      </w:pPr>
      <w:r/>
      <w:r/>
    </w:p>
    <w:p>
      <w:pPr>
        <w:pStyle w:val="622"/>
        <w:ind w:left="-567"/>
        <w:jc w:val="both"/>
      </w:pPr>
      <w:r>
        <w:t xml:space="preserve">Все иные условия проведения торгов про продаже имущества, не указанные в настоящем </w:t>
      </w:r>
      <w:r>
        <w:t xml:space="preserve">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</w:t>
      </w:r>
      <w:r>
        <w:t xml:space="preserve">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</w:t>
      </w:r>
      <w: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/>
    </w:p>
    <w:p>
      <w:pPr>
        <w:pStyle w:val="633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3"/>
        <w:gridCol w:w="64"/>
        <w:gridCol w:w="4648"/>
      </w:tblGrid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pStyle w:val="622"/>
            </w:pPr>
            <w:r/>
            <w:r/>
          </w:p>
          <w:p>
            <w:pPr>
              <w:pStyle w:val="622"/>
              <w:rPr>
                <w:lang w:val="en-US"/>
              </w:rPr>
            </w:pPr>
            <w:r>
              <w:t xml:space="preserve">Финансовый</w:t>
            </w:r>
            <w:r>
              <w:rPr>
                <w:lang w:val="en-US"/>
              </w:rPr>
              <w:t xml:space="preserve"> </w:t>
            </w:r>
            <w:r>
              <w:t xml:space="preserve">управляющий</w:t>
            </w:r>
            <w:r>
              <w:rPr>
                <w:bCs/>
                <w:lang w:val="en-US"/>
              </w:rPr>
              <w:br/>
            </w:r>
            <w:r>
              <w:rPr>
                <w:lang w:val="en-US"/>
              </w:rPr>
              <w:t xml:space="preserve">Елфимова Владимира Николаевича</w:t>
            </w:r>
            <w:r>
              <w:rPr>
                <w:lang w:val="en-US"/>
              </w:rPr>
            </w:r>
          </w:p>
        </w:tc>
        <w:tc>
          <w:tcPr>
            <w:tcW w:w="64" w:type="dxa"/>
            <w:vAlign w:val="center"/>
            <w:textDirection w:val="lrTb"/>
            <w:noWrap w:val="false"/>
          </w:tcPr>
          <w:p>
            <w:pPr>
              <w:pStyle w:val="622"/>
              <w:rPr>
                <w:lang w:val="en-US"/>
              </w:rPr>
            </w:pPr>
            <w:r>
              <w:rPr>
                <w:lang w:val="en-US"/>
              </w:rPr>
              <w:t xml:space="preserve"> </w:t>
            </w:r>
            <w:r>
              <w:rPr>
                <w:lang w:val="en-US"/>
              </w:rPr>
            </w:r>
          </w:p>
        </w:tc>
        <w:tc>
          <w:tcPr>
            <w:tcW w:w="4648" w:type="dxa"/>
            <w:textDirection w:val="lrTb"/>
            <w:noWrap w:val="false"/>
          </w:tcPr>
          <w:p>
            <w:pPr>
              <w:pStyle w:val="634"/>
              <w:jc w:val="right"/>
              <w:spacing w:before="240" w:after="240"/>
              <w:rPr>
                <w:sz w:val="20"/>
                <w:szCs w:val="20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2" behindDoc="0" locked="0" layoutInCell="0" allowOverlap="1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93345</wp:posOffset>
                      </wp:positionV>
                      <wp:extent cx="471170" cy="613410"/>
                      <wp:effectExtent l="0" t="0" r="0" b="0"/>
                      <wp:wrapSquare wrapText="bothSides"/>
                      <wp:docPr id="1" name="Изображение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Изображение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71170" cy="61341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;o:allowoverlap:true;o:allowincell:false;mso-position-horizontal-relative:text;margin-left:10.45pt;mso-position-horizontal:absolute;mso-position-vertical-relative:text;margin-top:7.35pt;mso-position-vertical:absolute;width:37.10pt;height:48.30pt;mso-wrap-distance-left:0.00pt;mso-wrap-distance-top:0.00pt;mso-wrap-distance-right:0.00pt;mso-wrap-distance-bottom:0.00pt;" stroked="false">
                      <v:path textboxrect="0,0,0,0"/>
                      <w10:wrap type="square"/>
                      <v:imagedata r:id="rId11" o:title=""/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М.В. Косточкина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22"/>
        <w:jc w:val="both"/>
      </w:pPr>
      <w:r/>
      <w:r/>
    </w:p>
    <w:p>
      <w:pPr>
        <w:pStyle w:val="622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Arial Unicode MS">
    <w:panose1 w:val="020B06040202020202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righ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13">
    <w:name w:val="No List"/>
    <w:uiPriority w:val="99"/>
    <w:semiHidden/>
    <w:unhideWhenUsed/>
  </w:style>
  <w:style w:type="paragraph" w:styleId="14">
    <w:name w:val="Heading 1"/>
    <w:basedOn w:val="622"/>
    <w:next w:val="62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3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2"/>
    <w:next w:val="62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3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2"/>
    <w:next w:val="62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3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2"/>
    <w:next w:val="62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3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2"/>
    <w:next w:val="62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3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2"/>
    <w:next w:val="62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3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2"/>
    <w:next w:val="62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3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2"/>
    <w:next w:val="62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3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2"/>
    <w:next w:val="62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3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2"/>
    <w:next w:val="62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3"/>
    <w:link w:val="35"/>
    <w:uiPriority w:val="10"/>
    <w:rPr>
      <w:sz w:val="48"/>
      <w:szCs w:val="48"/>
    </w:rPr>
  </w:style>
  <w:style w:type="paragraph" w:styleId="37">
    <w:name w:val="Subtitle"/>
    <w:basedOn w:val="622"/>
    <w:next w:val="62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3"/>
    <w:link w:val="37"/>
    <w:uiPriority w:val="11"/>
    <w:rPr>
      <w:sz w:val="24"/>
      <w:szCs w:val="24"/>
    </w:rPr>
  </w:style>
  <w:style w:type="paragraph" w:styleId="39">
    <w:name w:val="Quote"/>
    <w:basedOn w:val="622"/>
    <w:next w:val="62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2"/>
    <w:next w:val="62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2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3"/>
    <w:link w:val="43"/>
    <w:uiPriority w:val="99"/>
  </w:style>
  <w:style w:type="paragraph" w:styleId="45">
    <w:name w:val="Footer"/>
    <w:basedOn w:val="62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3"/>
    <w:link w:val="45"/>
    <w:uiPriority w:val="99"/>
  </w:style>
  <w:style w:type="character" w:styleId="48">
    <w:name w:val="Caption Char"/>
    <w:basedOn w:val="623"/>
    <w:link w:val="62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2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3"/>
    <w:uiPriority w:val="99"/>
    <w:unhideWhenUsed/>
    <w:rPr>
      <w:vertAlign w:val="superscript"/>
    </w:rPr>
  </w:style>
  <w:style w:type="paragraph" w:styleId="179">
    <w:name w:val="endnote text"/>
    <w:basedOn w:val="62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3"/>
    <w:uiPriority w:val="99"/>
    <w:semiHidden/>
    <w:unhideWhenUsed/>
    <w:rPr>
      <w:vertAlign w:val="superscript"/>
    </w:rPr>
  </w:style>
  <w:style w:type="paragraph" w:styleId="182">
    <w:name w:val="toc 1"/>
    <w:basedOn w:val="622"/>
    <w:next w:val="62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2"/>
    <w:next w:val="62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2"/>
    <w:next w:val="62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2"/>
    <w:next w:val="62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2"/>
    <w:next w:val="62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2"/>
    <w:next w:val="62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2"/>
    <w:next w:val="62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2"/>
    <w:next w:val="62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2"/>
    <w:next w:val="62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2"/>
    <w:next w:val="622"/>
    <w:uiPriority w:val="99"/>
    <w:unhideWhenUsed/>
    <w:pPr>
      <w:spacing w:after="0" w:afterAutospacing="0"/>
    </w:pPr>
  </w:style>
  <w:style w:type="paragraph" w:styleId="622" w:default="1">
    <w:name w:val="Normal"/>
    <w:qFormat/>
    <w:pPr>
      <w:jc w:val="left"/>
      <w:spacing w:before="0" w:after="0"/>
      <w:widowControl w:val="off"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character" w:styleId="623" w:default="1">
    <w:name w:val="Default Paragraph Font"/>
    <w:uiPriority w:val="1"/>
    <w:unhideWhenUsed/>
    <w:qFormat/>
  </w:style>
  <w:style w:type="character" w:styleId="624">
    <w:name w:val="Hyperlink"/>
    <w:uiPriority w:val="99"/>
    <w:unhideWhenUsed/>
    <w:rPr>
      <w:color w:val="0000ff"/>
      <w:u w:val="single"/>
    </w:rPr>
  </w:style>
  <w:style w:type="paragraph" w:styleId="625">
    <w:name w:val="Заголовок"/>
    <w:basedOn w:val="622"/>
    <w:next w:val="626"/>
    <w:qFormat/>
    <w:pPr>
      <w:keepNext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626">
    <w:name w:val="Body Text"/>
    <w:basedOn w:val="622"/>
    <w:pPr>
      <w:spacing w:before="0" w:after="140" w:line="276" w:lineRule="auto"/>
    </w:pPr>
  </w:style>
  <w:style w:type="paragraph" w:styleId="627">
    <w:name w:val="List"/>
    <w:basedOn w:val="626"/>
    <w:rPr>
      <w:rFonts w:cs="Arial Unicode MS"/>
    </w:rPr>
  </w:style>
  <w:style w:type="paragraph" w:styleId="628">
    <w:name w:val="Caption"/>
    <w:basedOn w:val="622"/>
    <w:qFormat/>
    <w:pPr>
      <w:spacing w:before="120" w:after="120"/>
      <w:suppressLineNumbers/>
    </w:pPr>
    <w:rPr>
      <w:rFonts w:cs="Arial Unicode MS"/>
      <w:i/>
      <w:iCs/>
      <w:sz w:val="24"/>
      <w:szCs w:val="24"/>
    </w:rPr>
  </w:style>
  <w:style w:type="paragraph" w:styleId="629">
    <w:name w:val="Указатель"/>
    <w:basedOn w:val="622"/>
    <w:qFormat/>
    <w:pPr>
      <w:suppressLineNumbers/>
    </w:pPr>
    <w:rPr>
      <w:rFonts w:cs="Arial Unicode MS"/>
    </w:rPr>
  </w:style>
  <w:style w:type="paragraph" w:styleId="630">
    <w:name w:val="Заголовок (user)"/>
    <w:basedOn w:val="622"/>
    <w:next w:val="626"/>
    <w:qFormat/>
    <w:pPr>
      <w:keepNext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631">
    <w:name w:val="Указатель (user)"/>
    <w:basedOn w:val="622"/>
    <w:qFormat/>
    <w:pPr>
      <w:suppressLineNumbers/>
    </w:pPr>
    <w:rPr>
      <w:rFonts w:cs="Arial Unicode MS"/>
    </w:rPr>
  </w:style>
  <w:style w:type="paragraph" w:styleId="632" w:customStyle="1">
    <w:name w:val="Обычный1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633" w:customStyle="1">
    <w:name w:val="ConsPlusNonformat"/>
    <w:qFormat/>
    <w:pPr>
      <w:jc w:val="left"/>
      <w:spacing w:before="0" w:after="0"/>
      <w:widowControl w:val="off"/>
    </w:pPr>
    <w:rPr>
      <w:rFonts w:ascii="Courier New" w:hAnsi="Courier New" w:eastAsia="Times New Roman" w:cs="Courier New"/>
      <w:color w:val="auto"/>
      <w:sz w:val="20"/>
      <w:szCs w:val="20"/>
      <w:lang w:val="ru-RU" w:eastAsia="ru-RU" w:bidi="ar-SA"/>
    </w:rPr>
  </w:style>
  <w:style w:type="paragraph" w:styleId="634" w:customStyle="1">
    <w:name w:val="Обычный (веб)"/>
    <w:basedOn w:val="622"/>
    <w:qFormat/>
    <w:pPr>
      <w:spacing w:before="240" w:after="240"/>
      <w:widowControl/>
    </w:pPr>
    <w:rPr>
      <w:sz w:val="24"/>
      <w:szCs w:val="24"/>
    </w:rPr>
  </w:style>
  <w:style w:type="paragraph" w:styleId="635" w:customStyle="1">
    <w:name w:val="Default"/>
    <w:qFormat/>
    <w:pPr>
      <w:jc w:val="left"/>
      <w:spacing w:before="0" w:after="0"/>
      <w:widowControl/>
    </w:pPr>
    <w:rPr>
      <w:rFonts w:ascii="Times New Roman" w:hAnsi="Times New Roman" w:eastAsia="Calibri" w:cs="Times New Roman"/>
      <w:color w:val="000000"/>
      <w:sz w:val="24"/>
      <w:szCs w:val="24"/>
      <w:lang w:val="ru-RU" w:eastAsia="ru-RU" w:bidi="ar-SA"/>
    </w:rPr>
  </w:style>
  <w:style w:type="paragraph" w:styleId="636">
    <w:name w:val="List Paragraph"/>
    <w:basedOn w:val="622"/>
    <w:uiPriority w:val="34"/>
    <w:qFormat/>
    <w:pPr>
      <w:contextualSpacing/>
      <w:ind w:left="720"/>
      <w:spacing w:before="0" w:after="0"/>
    </w:pPr>
  </w:style>
  <w:style w:type="numbering" w:styleId="637" w:default="1">
    <w:name w:val="Без списка (user)"/>
    <w:uiPriority w:val="99"/>
    <w:semiHidden/>
    <w:unhideWhenUsed/>
    <w:qFormat/>
  </w:style>
  <w:style w:type="table" w:styleId="638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639">
    <w:name w:val="Table Grid"/>
    <w:basedOn w:val="638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au" TargetMode="External"/><Relationship Id="rId10" Type="http://schemas.openxmlformats.org/officeDocument/2006/relationships/hyperlink" Target="consultantplus://offline/ref=C170E87E5106903B2C2693164E83ABCA2276C913842C8ACC75FF6C560D0667AC2FE2ED39A0D15019R9r5M" TargetMode="External"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dc:language>ru-RU</dc:language>
  <cp:lastModifiedBy>alesh</cp:lastModifiedBy>
  <cp:revision>22</cp:revision>
  <dcterms:created xsi:type="dcterms:W3CDTF">2024-09-06T16:05:00Z</dcterms:created>
  <dcterms:modified xsi:type="dcterms:W3CDTF">2026-07-03T10:10:50Z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