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75" w:type="dxa"/>
          <w:top w:w="75" w:type="dxa"/>
          <w:right w:w="75" w:type="dxa"/>
          <w:bottom w:w="75" w:type="dxa"/>
        </w:tblCellMar>
        <w:tblLook w:val="04A0" w:firstRow="1" w:lastRow="0" w:firstColumn="1" w:lastColumn="0" w:noHBand="0" w:noVBand="1"/>
      </w:tblPr>
      <w:tblGrid>
        <w:gridCol w:w="9922"/>
      </w:tblGrid>
      <w:tr>
        <w:tblPrEx/>
        <w:trPr>
          <w:tblCellSpacing w:w="0" w:type="dxa"/>
        </w:trPr>
        <w:tc>
          <w:tcPr>
            <w:tcW w:w="0" w:type="auto"/>
            <w:vAlign w:val="center"/>
            <w:textDirection w:val="lrTb"/>
            <w:noWrap w:val="false"/>
          </w:tcPr>
          <w:p>
            <w:pPr>
              <w:pStyle w:val="6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W w:w="4950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Финансовый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 xml:space="preserve">управляющий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 xml:space="preserve">Елфимова Владимира Николаевича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 xml:space="preserve">К</w:t>
            </w:r>
            <w:r>
              <w:rPr>
                <w:sz w:val="20"/>
                <w:szCs w:val="20"/>
                <w:lang w:val="en-US"/>
              </w:rPr>
              <w:t xml:space="preserve">о</w:t>
            </w:r>
            <w:r>
              <w:rPr>
                <w:sz w:val="20"/>
                <w:szCs w:val="20"/>
                <w:lang w:val="en-US"/>
              </w:rPr>
              <w:t xml:space="preserve">с</w:t>
            </w:r>
            <w:r>
              <w:rPr>
                <w:sz w:val="20"/>
                <w:szCs w:val="20"/>
                <w:lang w:val="en-US"/>
              </w:rPr>
              <w:t xml:space="preserve">т</w:t>
            </w:r>
            <w:r>
              <w:rPr>
                <w:sz w:val="20"/>
                <w:szCs w:val="20"/>
                <w:lang w:val="en-US"/>
              </w:rPr>
              <w:t xml:space="preserve">о</w:t>
            </w:r>
            <w:r>
              <w:rPr>
                <w:sz w:val="20"/>
                <w:szCs w:val="20"/>
                <w:lang w:val="en-US"/>
              </w:rPr>
              <w:t xml:space="preserve">ч</w:t>
            </w:r>
            <w:r>
              <w:rPr>
                <w:sz w:val="20"/>
                <w:szCs w:val="20"/>
                <w:lang w:val="en-US"/>
              </w:rPr>
              <w:t xml:space="preserve">к</w:t>
            </w:r>
            <w:r>
              <w:rPr>
                <w:sz w:val="20"/>
                <w:szCs w:val="20"/>
                <w:lang w:val="en-US"/>
              </w:rPr>
              <w:t xml:space="preserve">и</w:t>
            </w:r>
            <w:r>
              <w:rPr>
                <w:sz w:val="20"/>
                <w:szCs w:val="20"/>
                <w:lang w:val="en-US"/>
              </w:rPr>
              <w:t xml:space="preserve">н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 xml:space="preserve">М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  <w:lang w:val="en-US"/>
              </w:rPr>
              <w:t xml:space="preserve">р</w:t>
            </w:r>
            <w:r>
              <w:rPr>
                <w:sz w:val="20"/>
                <w:szCs w:val="20"/>
                <w:lang w:val="en-US"/>
              </w:rPr>
              <w:t xml:space="preserve">и</w:t>
            </w:r>
            <w:r>
              <w:rPr>
                <w:sz w:val="20"/>
                <w:szCs w:val="20"/>
                <w:lang w:val="en-US"/>
              </w:rPr>
              <w:t xml:space="preserve">я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 xml:space="preserve">В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  <w:lang w:val="en-US"/>
              </w:rPr>
              <w:t xml:space="preserve">с</w:t>
            </w:r>
            <w:r>
              <w:rPr>
                <w:sz w:val="20"/>
                <w:szCs w:val="20"/>
                <w:lang w:val="en-US"/>
              </w:rPr>
              <w:t xml:space="preserve">и</w:t>
            </w:r>
            <w:r>
              <w:rPr>
                <w:sz w:val="20"/>
                <w:szCs w:val="20"/>
                <w:lang w:val="en-US"/>
              </w:rPr>
              <w:t xml:space="preserve">л</w:t>
            </w:r>
            <w:r>
              <w:rPr>
                <w:sz w:val="20"/>
                <w:szCs w:val="20"/>
                <w:lang w:val="en-US"/>
              </w:rPr>
              <w:t xml:space="preserve">ь</w:t>
            </w:r>
            <w:r>
              <w:rPr>
                <w:sz w:val="20"/>
                <w:szCs w:val="20"/>
                <w:lang w:val="en-US"/>
              </w:rPr>
              <w:t xml:space="preserve">е</w:t>
            </w:r>
            <w:r>
              <w:rPr>
                <w:sz w:val="20"/>
                <w:szCs w:val="20"/>
                <w:lang w:val="en-US"/>
              </w:rPr>
              <w:t xml:space="preserve">в</w:t>
            </w:r>
            <w:r>
              <w:rPr>
                <w:sz w:val="20"/>
                <w:szCs w:val="20"/>
                <w:lang w:val="en-US"/>
              </w:rPr>
              <w:t xml:space="preserve">н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0" cy="9525"/>
                      <wp:effectExtent l="0" t="0" r="0" b="0"/>
                      <wp:docPr id="1" name="_x0000_i10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0" cy="9524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0" o:spid="_x0000_s0" o:spt="1" type="#_x0000_t1" style="width:0.00pt;height:0.75pt;mso-wrap-distance-left:0.00pt;mso-wrap-distance-top:0.00pt;mso-wrap-distance-right:0.00pt;mso-wrap-distance-bottom:0.00pt;visibility:visible;" fillcolor="#A0A0A0" stroked="f"/>
                  </w:pict>
                </mc:Fallback>
              </mc:AlternateContent>
            </w:r>
            <w:r>
              <w:rPr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684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0" cy="9525"/>
                      <wp:effectExtent l="0" t="0" r="0" b="0"/>
                      <wp:docPr id="2" name="_x0000_s10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0" cy="9524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1" o:spid="_x0000_s1" o:spt="1" type="#_x0000_t1" style="width:0.00pt;height:0.75pt;mso-wrap-distance-left:0.00pt;mso-wrap-distance-top:0.00pt;mso-wrap-distance-right:0.00pt;mso-wrap-distance-bottom:0.00pt;visibility:visible;" fillcolor="#A0A0A0" stroked="f"/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163046, Архангельск, Воскресенская, д. 59, 2 этаж,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эл. почта: </w:t>
            </w:r>
            <w:r>
              <w:rPr>
                <w:sz w:val="20"/>
                <w:szCs w:val="20"/>
              </w:rPr>
              <w:t xml:space="preserve">mkostochkina00@mail.ru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</w:p>
        </w:tc>
      </w:tr>
      <w:tr>
        <w:tblPrEx/>
        <w:trPr>
          <w:tblCellSpacing w:w="0" w:type="dxa"/>
        </w:trPr>
        <w:tc>
          <w:tcPr>
            <w:tcW w:w="0" w:type="auto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 </w:t>
            </w:r>
            <w:r>
              <w:rPr>
                <w:sz w:val="20"/>
                <w:szCs w:val="20"/>
                <w:lang w:val="en-US"/>
              </w:rPr>
            </w:r>
          </w:p>
        </w:tc>
      </w:tr>
    </w:tbl>
    <w:p>
      <w:pPr>
        <w:rPr>
          <w:vanish/>
          <w:sz w:val="20"/>
          <w:szCs w:val="20"/>
          <w:lang w:val="en-US"/>
        </w:rPr>
      </w:pPr>
      <w:r>
        <w:rPr>
          <w:vanish/>
          <w:sz w:val="20"/>
          <w:szCs w:val="20"/>
          <w:lang w:val="en-US"/>
        </w:rPr>
      </w:r>
      <w:r>
        <w:rPr>
          <w:vanish/>
          <w:sz w:val="20"/>
          <w:szCs w:val="20"/>
          <w:lang w:val="en-US"/>
        </w:rPr>
      </w:r>
    </w:p>
    <w:tbl>
      <w:tblPr>
        <w:tblW w:w="5000" w:type="pct"/>
        <w:tblCellSpacing w:w="0" w:type="dxa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>
        <w:tblPrEx/>
        <w:trPr>
          <w:tblCellSpacing w:w="0" w:type="dxa"/>
        </w:trPr>
        <w:tc>
          <w:tcPr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</w:t>
            </w:r>
            <w:r>
              <w:rPr>
                <w:sz w:val="20"/>
                <w:szCs w:val="20"/>
              </w:rPr>
              <w:t xml:space="preserve">03.07.2026</w:t>
            </w:r>
            <w:r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</w:r>
          </w:p>
        </w:tc>
        <w:tc>
          <w:tcPr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составления: Архангельск</w:t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97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Решение об оценке имущества гражданина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</w:p>
    <w:tbl>
      <w:tblPr>
        <w:tblW w:w="5000" w:type="pct"/>
        <w:tblCellSpacing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арбитражного суда, в производстве которого находится дело о банкротстве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Арбитражный суд Архангельской области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дела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А05-16197/2025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принятия судебного акта о введении процедуры банкротства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08.04.2026</w:t>
            </w:r>
            <w:r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назначения арбитражного управляющего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08.04.2026</w:t>
            </w:r>
            <w:r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97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об арбитражном управляющем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</w:p>
    <w:tbl>
      <w:tblPr>
        <w:tblW w:w="5000" w:type="pct"/>
        <w:tblCellSpacing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саморегулируемой организации арбитражных управляющих, членом которой является арбитражный управляющий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 "Саморегулируемая организация "Гильдия арбитражных управляющих"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и дата регистрации в едином государственном реестре саморегулируемых организаций арбитражных управляющих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001-5 от 19.12.2002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страховой организации, с которой заключен договор о страховании ответственности арбитражного управляющего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договора страхования, дата его заключения и срок действия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для направления корреспонденции арбитражному управляющему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163046, обл Архангельская, г Архангельск, ул Воскресенская, д 59, этаж 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97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 должнике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</w:p>
    <w:tbl>
      <w:tblPr>
        <w:tblW w:w="5000" w:type="pct"/>
        <w:tblCellSpacing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Елфимов Владимир Николаевич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14.12.1957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г.Архангельск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292600419921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137-238-979 90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г.Архангельск, ул.Воскресенская, д.105, корп.3, кв.9</w:t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98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</w:t>
      </w:r>
      <w:r>
        <w:rPr>
          <w:sz w:val="20"/>
          <w:szCs w:val="20"/>
        </w:rPr>
        <w:t xml:space="preserve">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</w:t>
      </w:r>
      <w:r>
        <w:rPr>
          <w:sz w:val="20"/>
          <w:szCs w:val="20"/>
        </w:rPr>
        <w:t xml:space="preserve">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</w:t>
      </w:r>
      <w:r>
        <w:rPr>
          <w:sz w:val="20"/>
          <w:szCs w:val="20"/>
        </w:rPr>
        <w:t xml:space="preserve">отказаться от применения затратного и доходного подхода по причи</w:t>
      </w:r>
      <w:r>
        <w:rPr>
          <w:sz w:val="20"/>
          <w:szCs w:val="20"/>
        </w:rPr>
        <w:t xml:space="preserve">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</w:t>
      </w:r>
      <w:r>
        <w:rPr>
          <w:sz w:val="20"/>
          <w:szCs w:val="20"/>
        </w:rPr>
        <w:t xml:space="preserve">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  <w:t xml:space="preserve">В резуль</w:t>
      </w:r>
      <w:r>
        <w:rPr>
          <w:sz w:val="20"/>
          <w:szCs w:val="20"/>
        </w:rPr>
        <w:t xml:space="preserve">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</w:t>
      </w:r>
      <w:r>
        <w:rPr>
          <w:sz w:val="20"/>
          <w:szCs w:val="20"/>
        </w:rPr>
        <w:t xml:space="preserve">03.07.2026</w:t>
      </w:r>
      <w:r>
        <w:rPr>
          <w:sz w:val="20"/>
          <w:szCs w:val="20"/>
        </w:rPr>
        <w:t xml:space="preserve"> г.: </w:t>
      </w:r>
      <w:r>
        <w:rPr>
          <w:sz w:val="20"/>
          <w:szCs w:val="20"/>
        </w:rPr>
      </w:r>
    </w:p>
    <w:tbl>
      <w:tblPr>
        <w:tblW w:w="5000" w:type="pct"/>
        <w:tblCellSpacing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559"/>
        <w:gridCol w:w="5335"/>
        <w:gridCol w:w="4012"/>
      </w:tblGrid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82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п/п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693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Наименование, характеристика объекта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025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Рыночная стоимость,руб.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82" w:type="pct"/>
            <w:vAlign w:val="center"/>
            <w:textDirection w:val="lrTb"/>
            <w:noWrap w:val="false"/>
          </w:tcPr>
          <w:p>
            <w:pPr>
              <w:pStyle w:val="706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693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t xml:space="preserve">Кадастровый номер: 31:16:0113004:50</w:t>
              <w:br/>
              <w:t xml:space="preserve">Местоположение: установлено относительно ориентира г. Белгород, с/т "Котельщик", № 557, расположенног</w:t>
            </w:r>
            <w:r>
              <w:t xml:space="preserve">о в границах участка.</w:t>
              <w:br/>
              <w:t xml:space="preserve">Категория земель:</w:t>
              <w:br/>
              <w:t xml:space="preserve">Земли населенных пунктов (весь участок).</w:t>
              <w:br/>
              <w:t xml:space="preserve">Разрешенное использование: для садоводства.</w:t>
              <w:br/>
              <w:t xml:space="preserve">Фактическое использование / характеристика деятельности: -</w:t>
              <w:br/>
              <w:t xml:space="preserve">Площадь: 720 кв.м.</w:t>
              <w:br/>
              <w:t xml:space="preserve">Кадастровая стоимость: 149 788,80 руб.</w:t>
            </w:r>
            <w:r>
              <w:br/>
              <w:t xml:space="preserve">Сведения о правах:</w:t>
              <w:br/>
              <w:t xml:space="preserve">Вид права: собственность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t xml:space="preserve">149 788</w:t>
            </w:r>
            <w:r/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Итого: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t xml:space="preserve">149 788</w:t>
            </w:r>
            <w:r/>
            <w:r>
              <w:rPr>
                <w:b/>
                <w:bCs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  <w:r>
        <w:rPr>
          <w:sz w:val="20"/>
          <w:szCs w:val="20"/>
          <w:highlight w:val="none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ind w:firstLine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84"/>
        <w:numPr>
          <w:ilvl w:val="0"/>
          <w:numId w:val="8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Лот 1: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t xml:space="preserve">Кадастровый номер: 31:16:0113004:50</w:t>
        <w:br/>
        <w:t xml:space="preserve">Местоположение: установлено относительно ориентира г. Белгород, с/т "Котельщик", № 557, расположенног</w:t>
      </w:r>
      <w:r>
        <w:t xml:space="preserve">о в границах участка.</w:t>
        <w:br/>
        <w:t xml:space="preserve">Категория земель:</w:t>
        <w:br/>
        <w:t xml:space="preserve">Земли населенных пунктов (весь участок).</w:t>
        <w:br/>
        <w:t xml:space="preserve">Разрешенное использование: для садоводства.</w:t>
        <w:br/>
        <w:t xml:space="preserve">Фактическое использование / характеристика деятельности: -</w:t>
        <w:br/>
        <w:t xml:space="preserve">Площадь: 720 кв.м.</w:t>
        <w:br/>
        <w:t xml:space="preserve">Кадастровая стоимость: 149 788,80 руб.</w:t>
      </w:r>
      <w:r>
        <w:br/>
        <w:t xml:space="preserve">Сведения о правах:</w:t>
        <w:br/>
        <w:t xml:space="preserve">Вид права: собственность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1_1913"/>
        <w:ind w:left="720"/>
        <w:rPr>
          <w:sz w:val="20"/>
          <w:szCs w:val="20"/>
        </w:rPr>
      </w:pPr>
      <w:r>
        <w:rPr>
          <w:sz w:val="20"/>
          <w:szCs w:val="20"/>
        </w:rPr>
        <w:t xml:space="preserve">Кадастровая стоимость данного объекта, в соответствии с выпиской равна </w:t>
      </w:r>
      <w:r>
        <w:t xml:space="preserve">149 788,80</w:t>
      </w:r>
      <w:r/>
      <w:r>
        <w:rPr>
          <w:sz w:val="20"/>
          <w:szCs w:val="20"/>
        </w:rPr>
      </w:r>
      <w:r>
        <w:rPr>
          <w:sz w:val="20"/>
          <w:szCs w:val="20"/>
        </w:rPr>
        <w:t xml:space="preserve"> рублей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  <w:t xml:space="preserve"> 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340471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041440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300469" cy="43404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96.10pt;height:341.77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7"/>
        <w:rPr>
          <w:sz w:val="20"/>
          <w:szCs w:val="20"/>
        </w:rPr>
      </w:pPr>
      <w:r>
        <w:rPr>
          <w:sz w:val="20"/>
          <w:szCs w:val="20"/>
        </w:rPr>
        <w:t xml:space="preserve"> </w:t>
      </w:r>
      <w:r>
        <w:rPr>
          <w:sz w:val="20"/>
          <w:szCs w:val="20"/>
        </w:rPr>
      </w:r>
    </w:p>
    <w:tbl>
      <w:tblPr>
        <w:tblW w:w="5000" w:type="pct"/>
        <w:tblCellSpacing w:w="0" w:type="dxa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518"/>
        <w:gridCol w:w="1522"/>
        <w:gridCol w:w="3882"/>
      </w:tblGrid>
      <w:tr>
        <w:tblPrEx/>
        <w:trPr>
          <w:tblCellSpacing w:w="0" w:type="dxa"/>
        </w:trPr>
        <w:tc>
          <w:tcPr>
            <w:tcW w:w="5250" w:type="dxa"/>
            <w:textDirection w:val="lrTb"/>
            <w:noWrap w:val="false"/>
          </w:tcPr>
          <w:p>
            <w:pPr>
              <w:pStyle w:val="697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 xml:space="preserve">Финансовый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управляющий</w:t>
            </w:r>
            <w:r>
              <w:rPr>
                <w:b/>
                <w:bCs/>
                <w:sz w:val="20"/>
                <w:szCs w:val="20"/>
                <w:lang w:val="en-US"/>
              </w:rPr>
              <w:br/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Елфимова Владимира Николаевича</w:t>
            </w:r>
            <w:r>
              <w:rPr>
                <w:b/>
                <w:bCs/>
                <w:sz w:val="20"/>
                <w:szCs w:val="20"/>
                <w:lang w:val="en-US"/>
              </w:rPr>
            </w:r>
          </w:p>
        </w:tc>
        <w:tc>
          <w:tcPr>
            <w:tcW w:w="3300" w:type="dxa"/>
            <w:vAlign w:val="center"/>
            <w:textDirection w:val="lrTb"/>
            <w:noWrap w:val="false"/>
          </w:tcPr>
          <w:p>
            <w:pPr>
              <w:pStyle w:val="69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br/>
            </w:r>
            <w:r/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W w:w="3000" w:type="dxa"/>
            <w:textDirection w:val="lrTb"/>
            <w:noWrap w:val="false"/>
          </w:tcPr>
          <w:p>
            <w:pPr>
              <w:ind w:left="212"/>
              <w:jc w:val="right"/>
              <w:tabs>
                <w:tab w:val="left" w:pos="453" w:leader="none"/>
              </w:tabs>
              <w:rPr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 xml:space="preserve">М.В. Косточкина</w:t>
            </w:r>
            <w:r>
              <w:rPr>
                <w:lang w:val="en-US"/>
              </w:rPr>
            </w:r>
          </w:p>
          <w:p>
            <w:pPr>
              <w:pStyle w:val="69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sectPr>
      <w:footerReference w:type="default" r:id="rId9"/>
      <w:footnotePr/>
      <w:endnotePr/>
      <w:type w:val="nextPage"/>
      <w:pgSz w:w="11907" w:h="16840" w:orient="portrait"/>
      <w:pgMar w:top="851" w:right="851" w:bottom="851" w:left="1134" w:header="0" w:footer="56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 Light">
    <w:panose1 w:val="020F030202020403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7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  <w:r>
      <w:rPr>
        <w:sz w:val="20"/>
        <w:szCs w:val="20"/>
      </w:rPr>
    </w:r>
  </w:p>
  <w:p>
    <w:pPr>
      <w:rPr>
        <w:sz w:val="20"/>
        <w:szCs w:val="20"/>
      </w:rPr>
    </w:pPr>
    <w:r>
      <w:rPr>
        <w:sz w:val="20"/>
        <w:szCs w:val="20"/>
      </w:rPr>
      <w:fldChar w:fldCharType="end"/>
    </w:r>
    <w:r>
      <w:rPr>
        <w:sz w:val="20"/>
        <w:szCs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9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2" w:hanging="240"/>
      </w:pPr>
      <w:rPr>
        <w:rFonts w:hint="default" w:ascii="Times New Roman" w:hAnsi="Times New Roman" w:eastAsia="Times New Roman" w:cs="Times New Roman"/>
        <w:sz w:val="24"/>
        <w:szCs w:val="24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438" w:hanging="240"/>
      </w:pPr>
      <w:rPr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417" w:hanging="240"/>
      </w:pPr>
      <w:rPr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395" w:hanging="240"/>
      </w:pPr>
      <w:rPr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374" w:hanging="240"/>
      </w:pPr>
      <w:rPr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353" w:hanging="240"/>
      </w:pPr>
      <w:rPr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331" w:hanging="240"/>
      </w:pPr>
      <w:rPr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310" w:hanging="240"/>
      </w:pPr>
      <w:rPr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289" w:hanging="240"/>
      </w:pPr>
      <w:rPr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800" w:hanging="36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3960" w:hanging="36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120" w:hanging="360"/>
        <w:tabs>
          <w:tab w:val="num" w:pos="6120" w:leader="none"/>
        </w:tabs>
      </w:pPr>
    </w:lvl>
  </w:abstractNum>
  <w:num w:numId="1">
    <w:abstractNumId w:val="2"/>
  </w:num>
  <w:num w:numId="2">
    <w:abstractNumId w:val="4"/>
    <w:lvlOverride w:ilvl="0">
      <w:startOverride w:val="1"/>
    </w:lvlOverride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89"/>
    <w:link w:val="68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89"/>
    <w:link w:val="686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89"/>
    <w:link w:val="68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89"/>
    <w:link w:val="68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84"/>
    <w:next w:val="684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8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84"/>
    <w:next w:val="684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8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84"/>
    <w:next w:val="684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8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84"/>
    <w:next w:val="684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8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84"/>
    <w:next w:val="684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8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84"/>
    <w:next w:val="684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89"/>
    <w:link w:val="35"/>
    <w:uiPriority w:val="10"/>
    <w:rPr>
      <w:sz w:val="48"/>
      <w:szCs w:val="48"/>
    </w:rPr>
  </w:style>
  <w:style w:type="paragraph" w:styleId="37">
    <w:name w:val="Subtitle"/>
    <w:basedOn w:val="684"/>
    <w:next w:val="684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89"/>
    <w:link w:val="37"/>
    <w:uiPriority w:val="11"/>
    <w:rPr>
      <w:sz w:val="24"/>
      <w:szCs w:val="24"/>
    </w:rPr>
  </w:style>
  <w:style w:type="paragraph" w:styleId="39">
    <w:name w:val="Quote"/>
    <w:basedOn w:val="684"/>
    <w:next w:val="68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84"/>
    <w:next w:val="684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84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89"/>
    <w:link w:val="43"/>
    <w:uiPriority w:val="99"/>
  </w:style>
  <w:style w:type="character" w:styleId="46">
    <w:name w:val="Footer Char"/>
    <w:basedOn w:val="689"/>
    <w:link w:val="702"/>
    <w:uiPriority w:val="99"/>
  </w:style>
  <w:style w:type="paragraph" w:styleId="47">
    <w:name w:val="Caption"/>
    <w:basedOn w:val="684"/>
    <w:next w:val="68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89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9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9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9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8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89"/>
    <w:uiPriority w:val="99"/>
    <w:unhideWhenUsed/>
    <w:rPr>
      <w:vertAlign w:val="superscript"/>
    </w:rPr>
  </w:style>
  <w:style w:type="paragraph" w:styleId="179">
    <w:name w:val="endnote text"/>
    <w:basedOn w:val="68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89"/>
    <w:uiPriority w:val="99"/>
    <w:semiHidden/>
    <w:unhideWhenUsed/>
    <w:rPr>
      <w:vertAlign w:val="superscript"/>
    </w:rPr>
  </w:style>
  <w:style w:type="paragraph" w:styleId="182">
    <w:name w:val="toc 1"/>
    <w:basedOn w:val="684"/>
    <w:next w:val="684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84"/>
    <w:next w:val="684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84"/>
    <w:next w:val="684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84"/>
    <w:next w:val="684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84"/>
    <w:next w:val="684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84"/>
    <w:next w:val="684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84"/>
    <w:next w:val="684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84"/>
    <w:next w:val="684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84"/>
    <w:next w:val="684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84"/>
    <w:next w:val="684"/>
    <w:uiPriority w:val="99"/>
    <w:unhideWhenUsed/>
    <w:pPr>
      <w:spacing w:after="0" w:afterAutospacing="0"/>
    </w:pPr>
  </w:style>
  <w:style w:type="paragraph" w:styleId="684" w:default="1">
    <w:name w:val="Normal"/>
    <w:qFormat/>
    <w:rPr>
      <w:sz w:val="24"/>
      <w:szCs w:val="24"/>
    </w:rPr>
  </w:style>
  <w:style w:type="paragraph" w:styleId="685">
    <w:name w:val="Heading 1"/>
    <w:basedOn w:val="684"/>
    <w:link w:val="692"/>
    <w:uiPriority w:val="9"/>
    <w:qFormat/>
    <w:pPr>
      <w:spacing w:before="100" w:beforeAutospacing="1" w:after="100" w:afterAutospacing="1"/>
      <w:outlineLvl w:val="0"/>
    </w:pPr>
    <w:rPr>
      <w:sz w:val="53"/>
      <w:szCs w:val="53"/>
    </w:rPr>
  </w:style>
  <w:style w:type="paragraph" w:styleId="686">
    <w:name w:val="Heading 2"/>
    <w:basedOn w:val="684"/>
    <w:link w:val="693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687">
    <w:name w:val="Heading 3"/>
    <w:basedOn w:val="684"/>
    <w:link w:val="694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688">
    <w:name w:val="Heading 4"/>
    <w:basedOn w:val="684"/>
    <w:link w:val="695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styleId="689" w:default="1">
    <w:name w:val="Default Paragraph Font"/>
    <w:uiPriority w:val="1"/>
    <w:semiHidden/>
    <w:unhideWhenUsed/>
  </w:style>
  <w:style w:type="table" w:styleId="6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character" w:styleId="692" w:customStyle="1">
    <w:name w:val="Заголовок 1 Знак"/>
    <w:link w:val="685"/>
    <w:uiPriority w:val="9"/>
    <w:rPr>
      <w:rFonts w:ascii="Calibri Light" w:hAnsi="Calibri Light" w:eastAsia="Times New Roman" w:cs="Times New Roman"/>
      <w:color w:val="2f5496"/>
      <w:sz w:val="32"/>
      <w:szCs w:val="32"/>
    </w:rPr>
  </w:style>
  <w:style w:type="character" w:styleId="693" w:customStyle="1">
    <w:name w:val="Заголовок 2 Знак"/>
    <w:link w:val="686"/>
    <w:uiPriority w:val="9"/>
    <w:semiHidden/>
    <w:rPr>
      <w:rFonts w:ascii="Calibri Light" w:hAnsi="Calibri Light" w:eastAsia="Times New Roman" w:cs="Times New Roman"/>
      <w:color w:val="2f5496"/>
      <w:sz w:val="26"/>
      <w:szCs w:val="26"/>
    </w:rPr>
  </w:style>
  <w:style w:type="character" w:styleId="694" w:customStyle="1">
    <w:name w:val="Заголовок 3 Знак"/>
    <w:link w:val="687"/>
    <w:uiPriority w:val="9"/>
    <w:semiHidden/>
    <w:rPr>
      <w:rFonts w:ascii="Calibri Light" w:hAnsi="Calibri Light" w:eastAsia="Times New Roman" w:cs="Times New Roman"/>
      <w:color w:val="1f3763"/>
      <w:sz w:val="24"/>
      <w:szCs w:val="24"/>
    </w:rPr>
  </w:style>
  <w:style w:type="character" w:styleId="695" w:customStyle="1">
    <w:name w:val="Заголовок 4 Знак"/>
    <w:link w:val="688"/>
    <w:uiPriority w:val="9"/>
    <w:semiHidden/>
    <w:rPr>
      <w:rFonts w:ascii="Calibri Light" w:hAnsi="Calibri Light" w:eastAsia="Times New Roman" w:cs="Times New Roman"/>
      <w:i/>
      <w:iCs/>
      <w:color w:val="2f5496"/>
      <w:sz w:val="24"/>
      <w:szCs w:val="24"/>
    </w:rPr>
  </w:style>
  <w:style w:type="paragraph" w:styleId="696" w:customStyle="1">
    <w:name w:val="msonormal"/>
    <w:basedOn w:val="684"/>
    <w:pPr>
      <w:spacing w:before="120" w:after="120"/>
    </w:pPr>
  </w:style>
  <w:style w:type="paragraph" w:styleId="697">
    <w:name w:val="Normal (Web)"/>
    <w:basedOn w:val="684"/>
    <w:uiPriority w:val="99"/>
    <w:unhideWhenUsed/>
    <w:pPr>
      <w:spacing w:before="120" w:after="120"/>
    </w:pPr>
  </w:style>
  <w:style w:type="paragraph" w:styleId="698" w:customStyle="1">
    <w:name w:val="indent"/>
    <w:basedOn w:val="684"/>
    <w:pPr>
      <w:ind w:firstLine="708"/>
      <w:jc w:val="both"/>
      <w:spacing w:before="120" w:after="120"/>
    </w:pPr>
  </w:style>
  <w:style w:type="paragraph" w:styleId="699" w:customStyle="1">
    <w:name w:val="indnomrg"/>
    <w:basedOn w:val="684"/>
    <w:pPr>
      <w:ind w:firstLine="708"/>
      <w:jc w:val="both"/>
    </w:pPr>
  </w:style>
  <w:style w:type="paragraph" w:styleId="700" w:customStyle="1">
    <w:name w:val="nomrg"/>
    <w:basedOn w:val="684"/>
    <w:pPr>
      <w:jc w:val="both"/>
    </w:pPr>
  </w:style>
  <w:style w:type="paragraph" w:styleId="701" w:customStyle="1">
    <w:name w:val="zagolovok6"/>
    <w:qFormat/>
    <w:rPr>
      <w:sz w:val="24"/>
      <w:szCs w:val="24"/>
    </w:rPr>
  </w:style>
  <w:style w:type="paragraph" w:styleId="702">
    <w:name w:val="Footer"/>
    <w:basedOn w:val="684"/>
    <w:link w:val="70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03" w:customStyle="1">
    <w:name w:val="Нижний колонтитул Знак"/>
    <w:link w:val="702"/>
    <w:uiPriority w:val="99"/>
    <w:rPr>
      <w:rFonts w:eastAsia="Times New Roman"/>
      <w:sz w:val="24"/>
      <w:szCs w:val="24"/>
    </w:rPr>
  </w:style>
  <w:style w:type="paragraph" w:styleId="704">
    <w:name w:val="Body Text"/>
    <w:basedOn w:val="684"/>
    <w:link w:val="705"/>
    <w:uiPriority w:val="1"/>
    <w:semiHidden/>
    <w:unhideWhenUsed/>
    <w:qFormat/>
    <w:pPr>
      <w:widowControl w:val="off"/>
    </w:pPr>
    <w:rPr>
      <w:lang w:eastAsia="en-US"/>
    </w:rPr>
  </w:style>
  <w:style w:type="character" w:styleId="705" w:customStyle="1">
    <w:name w:val="Основной текст Знак"/>
    <w:link w:val="704"/>
    <w:uiPriority w:val="1"/>
    <w:semiHidden/>
    <w:rPr>
      <w:sz w:val="24"/>
      <w:szCs w:val="24"/>
      <w:lang w:eastAsia="en-US"/>
    </w:rPr>
  </w:style>
  <w:style w:type="paragraph" w:styleId="706">
    <w:name w:val="List Paragraph"/>
    <w:basedOn w:val="684"/>
    <w:uiPriority w:val="1"/>
    <w:qFormat/>
    <w:pPr>
      <w:ind w:left="452" w:hanging="242"/>
      <w:widowControl w:val="off"/>
    </w:pPr>
    <w:rPr>
      <w:sz w:val="22"/>
      <w:szCs w:val="22"/>
      <w:lang w:eastAsia="en-US"/>
    </w:rPr>
  </w:style>
  <w:style w:type="character" w:styleId="707">
    <w:name w:val="Hyperlink"/>
    <w:uiPriority w:val="99"/>
    <w:unhideWhenUsed/>
    <w:rPr>
      <w:color w:val="0563c1"/>
      <w:u w:val="single"/>
    </w:rPr>
  </w:style>
  <w:style w:type="character" w:styleId="708">
    <w:name w:val="Unresolved Mention"/>
    <w:uiPriority w:val="99"/>
    <w:semiHidden/>
    <w:unhideWhenUsed/>
    <w:rPr>
      <w:color w:val="605e5c"/>
      <w:shd w:val="clear" w:color="auto" w:fill="e1dfdd"/>
    </w:rPr>
  </w:style>
  <w:style w:type="table" w:styleId="709">
    <w:name w:val="Table Grid"/>
    <w:basedOn w:val="690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_1913" w:customStyle="1">
    <w:name w:val="Обычный (Интернет)"/>
    <w:basedOn w:val="640"/>
    <w:next w:val="653"/>
    <w:link w:val="640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2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1_1914" w:customStyle="1">
    <w:name w:val="Гиперссылка"/>
    <w:next w:val="660"/>
    <w:link w:val="640"/>
    <w:uiPriority w:val="99"/>
    <w:unhideWhenUsed/>
    <w:rPr>
      <w:color w:val="0563c1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14432-0D68-495F-B8D5-49A503C2E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Пользователь</dc:creator>
  <cp:keywords/>
  <dc:description/>
  <cp:lastModifiedBy>alesh</cp:lastModifiedBy>
  <cp:revision>61</cp:revision>
  <dcterms:created xsi:type="dcterms:W3CDTF">2024-10-16T09:43:00Z</dcterms:created>
  <dcterms:modified xsi:type="dcterms:W3CDTF">2026-07-03T10:10:57Z</dcterms:modified>
</cp:coreProperties>
</file>