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ZtNu0vA580ATnDcLh4MjIER8cHWRWsLv1VeLfyrAw7c=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a1lKITVWlP2c2PIqxYOV91W43gYMzwx7nMIM5xHkZoU=</DigestValue>
    </Reference>
  </SignedInfo>
  <SignatureValue>RFlQ7HQvX8Hk9IPfW14XTl4iTbsFRY65d998P3myxoaP8Tw42HuImg6c/fkkoQEk
ot+KEDYy7vjgYHHqYZYMmg==</SignatureValue>
  <KeyInfo>
    <X509Data>
      <X509Certificate>MIII4TCCCI6gAwIBAgIRAWTPdACvsRG8TzSPUCCCI/4wCgYIKoUDBwEBAwIwggFB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VQQDDBzQntCe0J4gItCh0LXRgNGC0YPQvC3Qn9GA0L4iMB4XDTI0MDcxNjA2NTUx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0KHQpC8xMjQtNDcxOCDQvtGCIDE1LjAxLjIwMjQMT9Ch0LXRgNGC0LjRhNC40LrQ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Mzc1MSYwJAYDVQQDDB3QnNC40L3RhtC40YTRgNGLINCg0L7RgdGB0LjQuIIKShnR
+AAAAAAIUzAdBgNVHQ4EFgQU3W2xs+lGTPAahUYtx0RZSLEStKgwCgYIKoUDBwEB
AwIDQQCkkk+h3mMLDSS0/LG96iqDmCoFy6tZY8D+e0c2nD+BANRJuYnniNLQTjmY
9/hE1GHjatH5VbxnN1tqwH6riHMj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2024-08-06T13:55:31Z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2024-08-06T13:55:31Z</xd:SigningTime>
          <xd:SigningCertificate>
            <xd:Cert>
              <xd:CertDigest>
                <DigestMethod Algorithm="http://www.w3.org/2000/09/xmldsig#sha1"/>
                <DigestValue>UdF2umomBg8Vnim0eKguOfZM5X8=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474282324763034724009362919315315237886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