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Ханты-Мансийского автономного округа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Шайхутдинова Эдуарда Даниловича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Косточкиной Марии Васильевны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22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22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Шайхутдинова Эдуарда Даниловича</w:t>
      </w:r>
      <w:r>
        <w:rPr>
          <w:b/>
          <w:sz w:val="24"/>
          <w:szCs w:val="24"/>
          <w:lang w:val="en-US"/>
        </w:rPr>
      </w:r>
      <w:r>
        <w:rPr>
          <w:b/>
          <w:sz w:val="24"/>
          <w:szCs w:val="24"/>
          <w:lang w:val="en-US"/>
        </w:rPr>
      </w:r>
    </w:p>
    <w:p>
      <w:pPr>
        <w:pStyle w:val="62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23.05.1989</w:t>
      </w:r>
      <w:r>
        <w:rPr>
          <w:sz w:val="24"/>
          <w:szCs w:val="24"/>
        </w:rPr>
        <w:t xml:space="preserve">, место рождения: </w:t>
      </w:r>
      <w:r>
        <w:rPr>
          <w:sz w:val="24"/>
          <w:szCs w:val="24"/>
        </w:rPr>
        <w:t xml:space="preserve">гор. Свердловск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161-313-372 23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860239058803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628414, Ханты-Мансийский автономный округ - Югра, г Сургут, ул Привокзальная, д 18/2, кв 231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Сведения об имуществе и порядке озна</w:t>
            </w:r>
            <w:r>
              <w:t xml:space="preserve">комления с ним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Описание,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Автомобиль марки: ШЕВРОЛЕ ЛАЧЕТТИ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Год выпуска: 2007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Государственный регистрационный знак: К285СК86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Идентификационный номер: </w:t>
                  </w:r>
                  <w:r>
                    <w:rPr>
                      <w:sz w:val="20"/>
                      <w:szCs w:val="20"/>
                    </w:rPr>
                    <w:t xml:space="preserve">K</w:t>
                  </w:r>
                  <w:r>
                    <w:rPr>
                      <w:sz w:val="20"/>
                      <w:szCs w:val="20"/>
                    </w:rPr>
                    <w:t xml:space="preserve">L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N</w:t>
                  </w:r>
                  <w:r>
                    <w:rPr>
                      <w:sz w:val="20"/>
                      <w:szCs w:val="20"/>
                    </w:rPr>
                    <w:t xml:space="preserve">F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9</w:t>
                  </w:r>
                  <w:r>
                    <w:rPr>
                      <w:sz w:val="20"/>
                      <w:szCs w:val="20"/>
                    </w:rPr>
                    <w:t xml:space="preserve">6</w:t>
                  </w:r>
                  <w:r>
                    <w:rPr>
                      <w:sz w:val="20"/>
                      <w:szCs w:val="20"/>
                    </w:rPr>
                    <w:t xml:space="preserve">J</w:t>
                  </w:r>
                  <w:r>
                    <w:rPr>
                      <w:sz w:val="20"/>
                      <w:szCs w:val="20"/>
                    </w:rPr>
                    <w:t xml:space="preserve">8</w:t>
                  </w:r>
                  <w:r>
                    <w:rPr>
                      <w:sz w:val="20"/>
                      <w:szCs w:val="20"/>
                    </w:rPr>
                    <w:t xml:space="preserve">K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  <w:t xml:space="preserve">8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9</w:t>
                  </w:r>
                  <w:r>
                    <w:rPr>
                      <w:sz w:val="20"/>
                      <w:szCs w:val="20"/>
                    </w:rPr>
                    <w:t xml:space="preserve">8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Тип ТС: Легковой седан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Шасси (рама) №: отсутствует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Кузов: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K</w:t>
                  </w:r>
                  <w:r>
                    <w:rPr>
                      <w:sz w:val="20"/>
                      <w:szCs w:val="20"/>
                    </w:rPr>
                    <w:t xml:space="preserve">L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N</w:t>
                  </w:r>
                  <w:r>
                    <w:rPr>
                      <w:sz w:val="20"/>
                      <w:szCs w:val="20"/>
                    </w:rPr>
                    <w:t xml:space="preserve">F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9</w:t>
                  </w:r>
                  <w:r>
                    <w:rPr>
                      <w:sz w:val="20"/>
                      <w:szCs w:val="20"/>
                    </w:rPr>
                    <w:t xml:space="preserve">6</w:t>
                  </w:r>
                  <w:r>
                    <w:rPr>
                      <w:sz w:val="20"/>
                      <w:szCs w:val="20"/>
                    </w:rPr>
                    <w:t xml:space="preserve">J</w:t>
                  </w:r>
                  <w:r>
                    <w:rPr>
                      <w:sz w:val="20"/>
                      <w:szCs w:val="20"/>
                    </w:rPr>
                    <w:t xml:space="preserve">8</w:t>
                  </w:r>
                  <w:r>
                    <w:rPr>
                      <w:sz w:val="20"/>
                      <w:szCs w:val="20"/>
                    </w:rPr>
                    <w:t xml:space="preserve">K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  <w:t xml:space="preserve">8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9</w:t>
                  </w:r>
                  <w:r>
                    <w:rPr>
                      <w:sz w:val="20"/>
                      <w:szCs w:val="20"/>
                    </w:rPr>
                    <w:t xml:space="preserve">8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 Цвет кузова: </w:t>
                  </w:r>
                  <w:r>
                    <w:rPr>
                      <w:sz w:val="20"/>
                      <w:szCs w:val="20"/>
                    </w:rPr>
                    <w:t xml:space="preserve">ТЕМНО-КРАСНЫЙ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Разрешенная максимальная масса, кг: 1665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Масса без нагрузки, кг: 1</w:t>
                  </w:r>
                  <w:r>
                    <w:rPr>
                      <w:sz w:val="20"/>
                      <w:szCs w:val="20"/>
                    </w:rPr>
                    <w:t xml:space="preserve">255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</w:pPr>
                  <w:r/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247 600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</w:pPr>
                  <w:r/>
                  <w:r/>
                </w:p>
              </w:tc>
            </w:tr>
          </w:tbl>
          <w:p>
            <w:pPr>
              <w:pStyle w:val="618"/>
            </w:pPr>
            <w:r>
              <w:t xml:space="preserve">Ознакомление с имуществом производится по адресу:</w:t>
            </w:r>
            <w:r>
              <w:rPr>
                <w:sz w:val="24"/>
                <w:szCs w:val="24"/>
              </w:rPr>
              <w:t xml:space="preserve"> 628414, Ханты-Мансийский автономный округ - Югра, г Сургут, ул Привокзальная, д 18/2, кв 231</w:t>
            </w:r>
            <w:r/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>
              <w:t xml:space="preserve">89600</w:t>
            </w:r>
            <w:r>
              <w:t xml:space="preserve">091050</w:t>
            </w:r>
            <w:r/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70"/>
        </w:trPr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Сроки 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Организовать продажу имущества в течение </w:t>
            </w:r>
            <w:r>
              <w:t xml:space="preserve">15</w:t>
            </w:r>
            <w:r>
              <w:t xml:space="preserve"> со дня утверждения судом настоящего Положения.</w:t>
            </w:r>
            <w:r/>
            <w:r/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Финансовый управляющий </w:t>
            </w:r>
            <w:r>
              <w:t xml:space="preserve">Шайхутдинова Эдуарда Даниловича</w:t>
            </w:r>
            <w:r>
              <w:t xml:space="preserve"> </w:t>
            </w:r>
            <w:r>
              <w:t xml:space="preserve">Косточкина Мария Василье</w:t>
            </w:r>
            <w:r>
              <w:t xml:space="preserve">вна</w:t>
            </w:r>
            <w:r>
              <w:t xml:space="preserve">, </w:t>
            </w:r>
            <w:r>
              <w:t xml:space="preserve">действующий на основании решения Арбитражного суда Ханты-Мансийского автономного округа от 26.09.2025 г. по делу № А75-16760/2025</w:t>
            </w:r>
            <w:r/>
          </w:p>
          <w:p>
            <w:pPr>
              <w:pStyle w:val="618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618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pPr>
              <w:pStyle w:val="618"/>
            </w:pPr>
            <w:r>
              <w:t xml:space="preserve">- определяет участников торгов;</w:t>
            </w:r>
            <w:r/>
          </w:p>
          <w:p>
            <w:pPr>
              <w:pStyle w:val="618"/>
            </w:pPr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pStyle w:val="618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618"/>
            </w:pPr>
            <w:r>
              <w:t xml:space="preserve">Сведения об организаторе торг</w:t>
            </w:r>
            <w:r>
              <w:t xml:space="preserve">ов:</w:t>
            </w:r>
            <w:r/>
          </w:p>
          <w:p>
            <w:pPr>
              <w:pStyle w:val="618"/>
            </w:pPr>
            <w:r>
              <w:t xml:space="preserve">- почтовый адрес:</w:t>
            </w:r>
            <w:r>
              <w:t xml:space="preserve"> </w:t>
            </w:r>
            <w:r>
              <w:t xml:space="preserve">163046, Архангельская область, Архангельск, Воскресенская, 59, 2 этаж</w:t>
            </w:r>
            <w:r/>
          </w:p>
          <w:p>
            <w:pPr>
              <w:pStyle w:val="618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mkostochkina00@mail.ru</w:t>
            </w:r>
            <w:r/>
          </w:p>
          <w:p>
            <w:pPr>
              <w:pStyle w:val="618"/>
            </w:pPr>
            <w:r>
              <w:t xml:space="preserve">- контактный номер: </w:t>
            </w:r>
            <w:r/>
            <w:r/>
            <w:r>
              <w:t xml:space="preserve">89600</w:t>
            </w:r>
            <w:r>
              <w:t xml:space="preserve">091050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Продажа имущества должника о</w:t>
            </w:r>
            <w:r>
              <w:t xml:space="preserve">существляется путем проведения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Торги проводятся в электронной форме на электронной площадке Аукцион ПРО, размещенной на </w:t>
            </w:r>
            <w:r>
              <w:t xml:space="preserve">сайте </w:t>
            </w:r>
            <w:r>
              <w:t xml:space="preserve">A</w:t>
            </w:r>
            <w:r>
              <w:t xml:space="preserve">U</w:t>
            </w:r>
            <w:r>
              <w:t xml:space="preserve">-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.</w:t>
            </w:r>
            <w:r>
              <w:t xml:space="preserve">R</w:t>
            </w:r>
            <w:r>
              <w:t xml:space="preserve">U</w:t>
            </w:r>
            <w:r>
              <w:t xml:space="preserve">_ в сети Интернет.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Размер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Лот № 1: </w:t>
            </w:r>
            <w:r>
              <w:rPr>
                <w:i/>
              </w:rPr>
              <w:t xml:space="preserve">10 %</w:t>
            </w:r>
            <w:r/>
            <w:r/>
            <w:r/>
          </w:p>
          <w:p>
            <w:pPr>
              <w:pStyle w:val="618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окончания срока прие</w:t>
            </w:r>
            <w:r>
              <w:rPr>
                <w:lang w:val="en-US"/>
              </w:rPr>
              <w:t xml:space="preserve">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</w:p>
          <w:p>
            <w:pPr>
              <w:pStyle w:val="618"/>
              <w:rPr>
                <w:highlight w:val="none"/>
              </w:rPr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</w:p>
          <w:p>
            <w:r>
              <w:rPr>
                <w:highlight w:val="none"/>
              </w:rPr>
              <w:t xml:space="preserve">Шайхутдинов Эдуард Данилович</w:t>
            </w:r>
            <w:r/>
          </w:p>
          <w:p>
            <w:r>
              <w:rPr>
                <w:highlight w:val="none"/>
              </w:rPr>
            </w:r>
            <w:r/>
          </w:p>
          <w:p>
            <w:r>
              <w:rPr>
                <w:highlight w:val="none"/>
              </w:rPr>
              <w:t xml:space="preserve">40817810150223825018 Задатковый</w:t>
            </w:r>
            <w:r/>
          </w:p>
          <w:p>
            <w:r>
              <w:rPr>
                <w:highlight w:val="none"/>
              </w:rPr>
            </w:r>
            <w:r/>
          </w:p>
          <w:p>
            <w:r>
              <w:rPr>
                <w:highlight w:val="none"/>
              </w:rPr>
              <w:t xml:space="preserve">ФИЛИАЛ "ЦЕНТРАЛЬНЫЙ" ПАО "СОВКОМБАНК"</w:t>
            </w:r>
            <w:r/>
          </w:p>
          <w:p>
            <w:r>
              <w:rPr>
                <w:highlight w:val="none"/>
              </w:rPr>
            </w:r>
            <w:r/>
          </w:p>
          <w:p>
            <w:r>
              <w:rPr>
                <w:highlight w:val="none"/>
              </w:rPr>
              <w:t xml:space="preserve">633011, РОССИЙСКАЯ ФЕДЕРАЦИЯ, НОВОСИБИРСКАЯ ОБЛ,</w:t>
            </w:r>
            <w:r/>
          </w:p>
          <w:p>
            <w:r>
              <w:rPr>
                <w:highlight w:val="none"/>
              </w:rPr>
            </w:r>
            <w:r/>
          </w:p>
          <w:p>
            <w:r>
              <w:rPr>
                <w:highlight w:val="none"/>
              </w:rPr>
              <w:t xml:space="preserve">БЕРДСК Г, ПОПОВА УЛ, 11 Телефон: 8-800-100-00-06</w:t>
            </w:r>
            <w:r/>
          </w:p>
          <w:p>
            <w:r>
              <w:rPr>
                <w:highlight w:val="none"/>
              </w:rPr>
            </w:r>
            <w:r/>
          </w:p>
          <w:p>
            <w:r>
              <w:rPr>
                <w:highlight w:val="none"/>
              </w:rPr>
              <w:t xml:space="preserve">БИК 045004763 ИНН 4401116480 ОГРН 1144400000425</w:t>
            </w:r>
            <w:r/>
          </w:p>
          <w:p>
            <w:r>
              <w:rPr>
                <w:highlight w:val="none"/>
              </w:rPr>
            </w:r>
            <w:r/>
          </w:p>
          <w:p>
            <w:r>
              <w:rPr>
                <w:highlight w:val="none"/>
              </w:rPr>
              <w:t xml:space="preserve">Корр/счет 30101810150040000763</w:t>
            </w:r>
            <w:r/>
          </w:p>
          <w:p>
            <w:r>
              <w:rPr>
                <w:highlight w:val="none"/>
              </w:rPr>
            </w:r>
            <w:r/>
          </w:p>
          <w:p>
            <w:r>
              <w:rPr>
                <w:highlight w:val="none"/>
              </w:rPr>
              <w:t xml:space="preserve">КПП 544543001</w:t>
            </w:r>
            <w:r/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618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Лот № 1: </w:t>
            </w:r>
            <w:r>
              <w:rPr>
                <w:i/>
              </w:rPr>
              <w:t xml:space="preserve">10 %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Сообщение о продаже имущества публикуется в газете «Коммерсантъ», а также размещается на Едином федеральном реестре сведен</w:t>
            </w:r>
            <w:r>
              <w:t xml:space="preserve">ий о банкротстве не позднее, чем за 30 дней до даты проведения торгов</w:t>
            </w:r>
            <w:r>
              <w:rPr>
                <w:i/>
              </w:rPr>
              <w:t xml:space="preserve">.</w:t>
            </w:r>
            <w:r/>
            <w:r/>
          </w:p>
          <w:p>
            <w:pPr>
              <w:pStyle w:val="618"/>
            </w:pPr>
            <w:r>
              <w:t xml:space="preserve">Текст сообщения должен содержать следующие сведения:</w:t>
            </w:r>
            <w:r/>
            <w:r/>
          </w:p>
          <w:p>
            <w:pPr>
              <w:pStyle w:val="618"/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  <w:r/>
          </w:p>
          <w:p>
            <w:pPr>
              <w:pStyle w:val="618"/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/>
            <w:r/>
          </w:p>
          <w:p>
            <w:pPr>
              <w:pStyle w:val="618"/>
            </w:pPr>
            <w:r>
              <w:t xml:space="preserve">порядок, место, срок и время представления заявок на участие в торгах и</w:t>
            </w:r>
            <w:r>
              <w:t xml:space="preserve"> предложений о цене имущества (даты и время начала и окончания представления указанных заявок, дата и время начала предста</w:t>
            </w:r>
            <w:r>
              <w:t xml:space="preserve">вления указанных предложений); </w:t>
            </w:r>
            <w:r/>
            <w:r/>
          </w:p>
          <w:p>
            <w:pPr>
              <w:pStyle w:val="618"/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  <w:r/>
          </w:p>
          <w:p>
            <w:pPr>
              <w:pStyle w:val="618"/>
            </w:pPr>
            <w:r>
              <w:t xml:space="preserve">размер задатка, сроки и порядок внесения задатка, реквизиты счетов, на которые вноси</w:t>
            </w:r>
            <w:r>
              <w:t xml:space="preserve">тся задаток;</w:t>
            </w:r>
            <w:r/>
            <w:r/>
          </w:p>
          <w:p>
            <w:pPr>
              <w:pStyle w:val="618"/>
            </w:pPr>
            <w:r>
              <w:t xml:space="preserve">начальная цена продажи имущества;</w:t>
            </w:r>
            <w:r/>
            <w:r/>
          </w:p>
          <w:p>
            <w:pPr>
              <w:pStyle w:val="618"/>
            </w:pPr>
            <w:r>
              <w:t xml:space="preserve">величина повышения начальной цены продажи имущества ("шаг аукциона");</w:t>
            </w:r>
            <w:r/>
            <w:r/>
          </w:p>
          <w:p>
            <w:pPr>
              <w:pStyle w:val="618"/>
            </w:pPr>
            <w:r>
              <w:t xml:space="preserve">порядок и критерии выявления победит</w:t>
            </w:r>
            <w:r>
              <w:t xml:space="preserve">еля торгов;</w:t>
            </w:r>
            <w:r/>
            <w:r/>
          </w:p>
          <w:p>
            <w:pPr>
              <w:pStyle w:val="618"/>
            </w:pPr>
            <w:r>
              <w:t xml:space="preserve">дата, время и место подведения результатов торгов;</w:t>
            </w:r>
            <w:r/>
            <w:r/>
          </w:p>
          <w:p>
            <w:pPr>
              <w:pStyle w:val="618"/>
            </w:pPr>
            <w:r>
              <w:t xml:space="preserve">порядок и срок заключения договора купли-продажи имущества;</w:t>
            </w:r>
            <w:r/>
            <w:r/>
          </w:p>
          <w:p>
            <w:pPr>
              <w:pStyle w:val="618"/>
            </w:pPr>
            <w:r>
              <w:t xml:space="preserve">сроки платежей, реквизиты счетов, на которые вносятся платежи;</w:t>
            </w:r>
            <w:r/>
            <w:r/>
          </w:p>
          <w:p>
            <w:pPr>
              <w:pStyle w:val="618"/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Заявка на участие в торгах составляется в произвольной форме на русском языке и должна содержать следующие свед</w:t>
            </w:r>
            <w:r>
              <w:t xml:space="preserve">ения:</w:t>
            </w:r>
            <w:r/>
          </w:p>
          <w:p>
            <w:pPr>
              <w:pStyle w:val="618"/>
            </w:pPr>
            <w: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  <w:r/>
          </w:p>
          <w:p>
            <w:pPr>
              <w:pStyle w:val="618"/>
            </w:pPr>
            <w: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618"/>
            </w:pPr>
            <w:r>
              <w:t xml:space="preserve">в) номер контактного телефона, адрес электронной поч</w:t>
            </w:r>
            <w:r>
              <w:t xml:space="preserve">ты за</w:t>
            </w:r>
            <w:r>
              <w:t xml:space="preserve">я</w:t>
            </w:r>
            <w:r>
              <w:t xml:space="preserve">вителя</w:t>
            </w:r>
            <w:r>
              <w:t xml:space="preserve">; </w:t>
            </w:r>
            <w:r/>
          </w:p>
          <w:p>
            <w:pPr>
              <w:pStyle w:val="618"/>
            </w:pPr>
            <w:r>
              <w:t xml:space="preserve"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</w:t>
            </w:r>
            <w:r>
              <w:t xml:space="preserve">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618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</w:t>
            </w:r>
            <w:r>
              <w:t xml:space="preserve">онной подписью заявителя.</w:t>
            </w:r>
            <w:r/>
          </w:p>
          <w:p>
            <w:pPr>
              <w:pStyle w:val="618"/>
            </w:pPr>
            <w:r>
              <w:t xml:space="preserve">Для участия в открытых торгах заявитель представляет оператору электронной площадки в форме электронного сообщения подписанный </w:t>
            </w:r>
            <w:r>
              <w:t xml:space="preserve">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</w:t>
            </w:r>
            <w:r>
              <w:t xml:space="preserve">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618"/>
            </w:pPr>
            <w:r>
              <w:t xml:space="preserve">Заявитель вправе отозвать заявку на участие в торгах не позднее окончания срока представлени</w:t>
            </w:r>
            <w:r>
              <w:t xml:space="preserve">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618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</w:t>
            </w:r>
            <w:r>
              <w:t xml:space="preserve">ачальная заявка должна быть отозвана.</w:t>
            </w:r>
            <w:r/>
          </w:p>
          <w:p>
            <w:pPr>
              <w:pStyle w:val="618"/>
            </w:pPr>
            <w:r>
              <w:t xml:space="preserve">В течение тридцати минут с момента представления заявки на участие в торгах такая заявка с помощью программно-аппаратных средств сайт</w:t>
            </w:r>
            <w:r>
              <w:t xml:space="preserve">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  <w:r/>
          </w:p>
          <w:p>
            <w:pPr>
              <w:pStyle w:val="618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Определение участников </w:t>
            </w:r>
            <w:r>
              <w:t xml:space="preserve">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тридцати минут после окон</w:t>
            </w:r>
            <w: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618"/>
            </w:pPr>
            <w: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</w:t>
            </w:r>
            <w:r>
              <w:t xml:space="preserve">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618"/>
            </w:pPr>
            <w:r>
              <w:t xml:space="preserve"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</w:t>
            </w:r>
            <w:r>
              <w:t xml:space="preserve">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</w:t>
            </w:r>
            <w:r>
              <w:t xml:space="preserve">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618"/>
            </w:pPr>
            <w:r>
              <w:t xml:space="preserve">К участию в торгах допускаются заявите</w:t>
            </w:r>
            <w:r>
              <w:t xml:space="preserve">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618"/>
            </w:pPr>
            <w:r>
              <w:t xml:space="preserve">Решение об</w:t>
            </w:r>
            <w:r>
              <w:t xml:space="preserve"> отказе в допуске заявителя к участию в торгах принимается в случае, если:</w:t>
            </w:r>
            <w:r/>
          </w:p>
          <w:p>
            <w:pPr>
              <w:pStyle w:val="618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618"/>
            </w:pPr>
            <w: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/>
          </w:p>
          <w:p>
            <w:pPr>
              <w:pStyle w:val="618"/>
            </w:pPr>
            <w: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торгах могут принимать участие только лица</w:t>
            </w:r>
            <w:r>
              <w:t xml:space="preserve">, признанные участниками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618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t xml:space="preserve"> </w:t>
            </w:r>
            <w:r>
              <w:t xml:space="preserve">с указанием </w:t>
            </w:r>
            <w:r>
              <w:t xml:space="preserve">точного времени их поступления, а также времени, оставшегося до истечения срока представления таких предложений. </w:t>
            </w:r>
            <w:r/>
          </w:p>
          <w:p>
            <w:pPr>
              <w:pStyle w:val="618"/>
            </w:pPr>
            <w: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618"/>
            </w:pPr>
            <w:r>
              <w:t xml:space="preserve">Если в течение одного часа с моме</w:t>
            </w:r>
            <w:r>
              <w:t xml:space="preserve">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</w:t>
            </w:r>
            <w:r>
              <w:t xml:space="preserve">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618"/>
            </w:pPr>
            <w:r>
              <w:t xml:space="preserve">Если в течение тридцати минут после предста</w:t>
            </w:r>
            <w:r>
              <w:t xml:space="preserve">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618"/>
            </w:pPr>
            <w:r>
              <w:t xml:space="preserve">Во время проведения торгов с помощью программно-аппаратных средств сайта предложение о цене в момент его поступления о</w:t>
            </w:r>
            <w:r>
              <w:t xml:space="preserve">тклоняется с направлением лицу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618"/>
            </w:pPr>
            <w:r>
              <w:t xml:space="preserve">а) предложение о цене представлено по истечении установленного срока представ</w:t>
            </w:r>
            <w:r>
              <w:t xml:space="preserve">ления предложений о цене;</w:t>
            </w:r>
            <w:r/>
          </w:p>
          <w:p>
            <w:pPr>
              <w:pStyle w:val="618"/>
            </w:pPr>
            <w: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618"/>
            </w:pPr>
            <w: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pPr>
              <w:pStyle w:val="618"/>
            </w:pPr>
            <w: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тридцати минут с момента завершения торгов оператором электронной площадки с помощью програ</w:t>
            </w:r>
            <w:r>
              <w:t xml:space="preserve">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618"/>
            </w:pPr>
            <w: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</w:t>
            </w:r>
            <w:r>
              <w:t xml:space="preserve">ого часа после получения от оператора электронной площадки протокола.</w:t>
            </w:r>
            <w:r/>
          </w:p>
          <w:p>
            <w:pPr>
              <w:pStyle w:val="618"/>
            </w:pPr>
            <w:r>
              <w:t xml:space="preserve">Протокол о результатах проведения торгов размещается оператором электронной площадки на </w:t>
            </w:r>
            <w:r>
              <w:t xml:space="preserve">электронной площадке.</w:t>
            </w:r>
            <w:r/>
          </w:p>
          <w:p>
            <w:pPr>
              <w:pStyle w:val="618"/>
            </w:pPr>
            <w:r>
              <w:t xml:space="preserve">Не позднее тридцати минут после размещения</w:t>
            </w:r>
            <w: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618"/>
            </w:pPr>
            <w: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</w:t>
            </w:r>
            <w:r>
              <w:t xml:space="preserve">.</w:t>
            </w:r>
            <w:r/>
          </w:p>
          <w:p>
            <w:pPr>
              <w:pStyle w:val="618"/>
            </w:pPr>
            <w: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618"/>
            </w:pPr>
            <w:r>
              <w:t xml:space="preserve">окончания срока предст</w:t>
            </w:r>
            <w:r>
              <w:t xml:space="preserve">авления заявок на участие в торгах при отсутствии заявок на участие в торгах;</w:t>
            </w:r>
            <w:r/>
          </w:p>
          <w:p>
            <w:pPr>
              <w:pStyle w:val="618"/>
            </w:pPr>
            <w: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618"/>
            </w:pPr>
            <w:r>
              <w:t xml:space="preserve">Организат</w:t>
            </w:r>
            <w: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618"/>
            </w:pPr>
            <w:r>
              <w:t xml:space="preserve">Решение о признании торгов несостоявшимися размещается оператором эле</w:t>
            </w:r>
            <w:r>
              <w:t xml:space="preserve">ктронной площадки на электронной площадке.</w:t>
            </w:r>
            <w:r/>
          </w:p>
          <w:p>
            <w:pPr>
              <w:pStyle w:val="618"/>
            </w:pPr>
            <w:r>
              <w:t xml:space="preserve">Не позднее тридцати минут после размеще</w:t>
            </w:r>
            <w:r>
              <w:t xml:space="preserve">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618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 xml:space="preserve">имущества зак</w:t>
            </w:r>
            <w:r>
              <w:t xml:space="preserve">лючается финансовым</w:t>
            </w:r>
            <w:r>
              <w:t xml:space="preserve">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Порядок и срок заключения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течение пяти дней с даты </w:t>
            </w:r>
            <w:r>
              <w:t xml:space="preserve">утверждения протокола финансовый</w:t>
            </w:r>
            <w:r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618"/>
            </w:pPr>
            <w:r>
              <w:t xml:space="preserve">Договор купли-продажи имущества должен быть заклю</w:t>
            </w:r>
            <w:r>
              <w:t xml:space="preserve">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618"/>
            </w:pPr>
            <w:r>
              <w:t xml:space="preserve">В случае отказа или уклонения победителя торгов от подписания договора купли-продажи имущества в течение пяти дней со дня п</w:t>
            </w:r>
            <w:r>
              <w:t xml:space="preserve">олучения предложения финансового</w:t>
            </w:r>
            <w:r>
              <w:t xml:space="preserve"> управляющего о заключении такого договора внесенный з</w:t>
            </w:r>
            <w:r>
              <w:t xml:space="preserve">адаток ему не возвращается и финансовый</w:t>
            </w:r>
            <w:r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</w:t>
            </w:r>
            <w:r>
              <w:t xml:space="preserve">енной другими участниками торгов, за исключением победителя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  <w:rPr>
                <w:highlight w:val="none"/>
              </w:rPr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/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Шайхутдинов Эдуард Данилович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40817810150223825018 Задатковый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ФИЛИАЛ "ЦЕНТРАЛЬНЫЙ" ПАО "СОВКОМБАНК"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633011, РОССИЙСКАЯ ФЕДЕРАЦИЯ, НОВОСИБИРСКАЯ ОБЛ,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БЕРДСК Г, ПОПОВА УЛ, 11 Телефон: 8-800-100-00-06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БИК 045004763 ИНН 4401116480 ОГРН 1144400000425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Корр/счет 30101810150040000763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r>
              <w:rPr>
                <w:highlight w:val="none"/>
              </w:rPr>
              <w:t xml:space="preserve">КПП 544543001</w:t>
            </w:r>
            <w:r/>
            <w:r/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618"/>
            </w:pPr>
            <w:r>
              <w:t xml:space="preserve">При</w:t>
            </w:r>
            <w:r>
              <w:t xml:space="preserve">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Обязательными условиями до</w:t>
            </w:r>
            <w:r>
              <w:t xml:space="preserve">говора купли-продажи имущества</w:t>
            </w:r>
            <w:r>
              <w:t xml:space="preserve"> являются:</w:t>
            </w:r>
            <w:r/>
          </w:p>
          <w:p>
            <w:pPr>
              <w:pStyle w:val="618"/>
            </w:pPr>
            <w:r>
              <w:t xml:space="preserve">сведения об имуществе</w:t>
            </w:r>
            <w:r>
              <w:t xml:space="preserve">, его составе, харак</w:t>
            </w:r>
            <w:r>
              <w:t xml:space="preserve">теристиках, описание имущества</w:t>
            </w:r>
            <w:r>
              <w:t xml:space="preserve">;</w:t>
            </w:r>
            <w:r/>
          </w:p>
          <w:p>
            <w:pPr>
              <w:pStyle w:val="618"/>
            </w:pPr>
            <w:r>
              <w:t xml:space="preserve">цена продажи имущества</w:t>
            </w:r>
            <w:r>
              <w:t xml:space="preserve">;</w:t>
            </w:r>
            <w:r/>
          </w:p>
          <w:p>
            <w:pPr>
              <w:pStyle w:val="618"/>
            </w:pPr>
            <w:r>
              <w:t xml:space="preserve">пор</w:t>
            </w:r>
            <w:r>
              <w:t xml:space="preserve">ядок и срок передачи имущества</w:t>
            </w:r>
            <w:r>
              <w:t xml:space="preserve"> покупателю;</w:t>
            </w:r>
            <w:r/>
          </w:p>
          <w:p>
            <w:pPr>
              <w:pStyle w:val="618"/>
            </w:pPr>
            <w:r>
              <w:t xml:space="preserve">сведения о наличии или об отсутствии обр</w:t>
            </w:r>
            <w:r>
              <w:t xml:space="preserve">еменении в отношении имущества</w:t>
            </w:r>
            <w:r>
              <w:t xml:space="preserve">, в том числе публичного сервитута;</w:t>
            </w:r>
            <w:r/>
          </w:p>
          <w:p>
            <w:pPr>
              <w:pStyle w:val="618"/>
            </w:pPr>
            <w:r>
              <w:t xml:space="preserve">иные предусмотренные законода</w:t>
            </w:r>
            <w:r>
              <w:t xml:space="preserve">тельством Российской Федерации условия.</w:t>
            </w:r>
            <w:r/>
          </w:p>
          <w:p>
            <w:pPr>
              <w:pStyle w:val="618"/>
            </w:pPr>
            <w:r>
              <w:t xml:space="preserve">Передача имущества финансовым</w:t>
            </w:r>
            <w:r>
              <w:t xml:space="preserve">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r>
              <w:fldChar w:fldCharType="begin"/>
            </w:r>
            <w:r>
              <w:instrText xml:space="preserve"> HYPERLINK "consultantplus://offline/ref=C170E87E5106903B2C2693164E83ABCA2276C913842C8ACC75FF6C560D0667AC2FE2ED39A0D15019R9r5M" </w:instrText>
            </w:r>
            <w:r>
              <w:fldChar w:fldCharType="separate"/>
            </w:r>
            <w:r>
              <w:rPr>
                <w:rStyle w:val="624"/>
                <w:color w:val="000000"/>
                <w:u w:val="none"/>
              </w:rPr>
              <w:t xml:space="preserve">законодательством</w:t>
            </w:r>
            <w:r>
              <w:rPr>
                <w:rStyle w:val="624"/>
                <w:color w:val="000000"/>
                <w:u w:val="none"/>
              </w:rP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случае признания торгов несостоявшимися и незаключения договора купли-продажи с единственным участнико</w:t>
            </w:r>
            <w:r>
              <w:t xml:space="preserve">м торгов, а также в случае незаключения договора купли-продажи имущества </w:t>
            </w:r>
            <w:r>
              <w:t xml:space="preserve">по результатам торгов финансовый</w:t>
            </w:r>
            <w:r>
              <w:t xml:space="preserve"> управляющий в течение двух дней после завершения срока, установленного для принятия решений о признании торгов несостоявшими</w:t>
            </w:r>
            <w: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618"/>
            </w:pPr>
            <w:r>
              <w:t xml:space="preserve">Повторные торги проводятс</w:t>
            </w:r>
            <w:r>
              <w:t xml:space="preserve">я в соответствии с условиями проведения первоначальных торгов.</w:t>
            </w:r>
            <w:r/>
          </w:p>
          <w:p>
            <w:pPr>
              <w:pStyle w:val="618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  <w:r/>
          </w:p>
          <w:p>
            <w:pPr>
              <w:pStyle w:val="618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  <w:r/>
          </w:p>
          <w:p>
            <w:pPr>
              <w:pStyle w:val="618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  <w:r/>
          </w:p>
          <w:p>
            <w:pPr>
              <w:pStyle w:val="618"/>
            </w:pPr>
            <w:r>
              <w:t xml:space="preserve">Величина снижения начальной цены продажи имущества должника - 10 %.</w:t>
            </w:r>
            <w:r/>
            <w:r/>
          </w:p>
          <w:p>
            <w:pPr>
              <w:pStyle w:val="618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  <w:r/>
          </w:p>
          <w:p>
            <w:pPr>
              <w:pStyle w:val="618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  <w:r/>
          </w:p>
          <w:p>
            <w:pPr>
              <w:pStyle w:val="618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  <w:r/>
          </w:p>
          <w:p>
            <w:pPr>
              <w:pStyle w:val="618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  <w:r/>
          </w:p>
          <w:p>
            <w:pPr>
              <w:pStyle w:val="618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  <w:r/>
            <w:r/>
          </w:p>
          <w:p>
            <w:pPr>
              <w:pStyle w:val="618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  <w:r/>
            <w:r/>
          </w:p>
          <w:p>
            <w:pPr>
              <w:pStyle w:val="618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  <w:r/>
          </w:p>
          <w:p>
            <w:pPr>
              <w:pStyle w:val="618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  <w:r/>
          </w:p>
          <w:p>
            <w:pPr>
              <w:pStyle w:val="618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  <w:r/>
          </w:p>
          <w:p>
            <w:pPr>
              <w:pStyle w:val="618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  <w:r/>
          </w:p>
          <w:p>
            <w:pPr>
              <w:pStyle w:val="618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  <w:r/>
            <w:r/>
          </w:p>
          <w:p>
            <w:pPr>
              <w:pStyle w:val="618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  <w:r/>
          </w:p>
          <w:p>
            <w:pPr>
              <w:pStyle w:val="618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  <w:r/>
          </w:p>
          <w:p>
            <w:pPr>
              <w:pStyle w:val="618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  <w:r/>
          </w:p>
          <w:p>
            <w:pPr>
              <w:pStyle w:val="618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  <w:r/>
          </w:p>
          <w:p>
            <w:pPr>
              <w:pStyle w:val="618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  <w:r/>
          </w:p>
          <w:p>
            <w:pPr>
              <w:pStyle w:val="618"/>
            </w:pPr>
            <w:r/>
          </w:p>
        </w:tc>
      </w:tr>
    </w:tbl>
    <w:p>
      <w:pPr>
        <w:pStyle w:val="618"/>
      </w:pPr>
      <w:r/>
      <w:r/>
    </w:p>
    <w:p>
      <w:pPr>
        <w:pStyle w:val="618"/>
        <w:jc w:val="both"/>
      </w:pPr>
      <w:r/>
      <w:r/>
    </w:p>
    <w:p>
      <w:pPr>
        <w:pStyle w:val="618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Минэкономразвития России от 23.07.2015 N 495 «Об утверждении Порядка проведения торг</w:t>
      </w:r>
      <w:r>
        <w:t xml:space="preserve">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</w:t>
      </w:r>
      <w:r>
        <w:t xml:space="preserve">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</w:t>
      </w:r>
      <w:r>
        <w:t xml:space="preserve">. N 178 и признании утратившими силу некоторых приказов Минэкономразвития России».</w:t>
      </w:r>
      <w:r/>
    </w:p>
    <w:p>
      <w:pPr>
        <w:pStyle w:val="625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18"/>
            </w:pPr>
            <w:r/>
            <w:r/>
          </w:p>
          <w:p>
            <w:pPr>
              <w:pStyle w:val="618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t xml:space="preserve">Шайхутдинова Эдуарда Даниловича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618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18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next w:val="618"/>
    <w:link w:val="618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619">
    <w:name w:val="Основной шрифт абзаца"/>
    <w:next w:val="619"/>
    <w:link w:val="618"/>
    <w:uiPriority w:val="1"/>
    <w:semiHidden/>
    <w:unhideWhenUsed/>
  </w:style>
  <w:style w:type="table" w:styleId="620">
    <w:name w:val="Обычная таблица"/>
    <w:next w:val="620"/>
    <w:link w:val="618"/>
    <w:uiPriority w:val="99"/>
    <w:semiHidden/>
    <w:unhideWhenUsed/>
    <w:tblPr/>
  </w:style>
  <w:style w:type="numbering" w:styleId="621">
    <w:name w:val="Нет списка"/>
    <w:next w:val="621"/>
    <w:link w:val="618"/>
    <w:uiPriority w:val="99"/>
    <w:semiHidden/>
    <w:unhideWhenUsed/>
  </w:style>
  <w:style w:type="paragraph" w:styleId="622">
    <w:name w:val="Обычный1"/>
    <w:next w:val="622"/>
    <w:link w:val="618"/>
    <w:rPr>
      <w:rFonts w:ascii="Times New Roman" w:hAnsi="Times New Roman" w:eastAsia="Times New Roman"/>
      <w:lang w:val="ru-RU" w:eastAsia="ru-RU" w:bidi="ar-SA"/>
    </w:rPr>
  </w:style>
  <w:style w:type="table" w:styleId="623">
    <w:name w:val="Сетка таблицы"/>
    <w:basedOn w:val="620"/>
    <w:next w:val="623"/>
    <w:link w:val="618"/>
    <w:uiPriority w:val="59"/>
    <w:pPr>
      <w:spacing w:after="0" w:line="240" w:lineRule="auto"/>
    </w:pPr>
    <w:tblPr/>
  </w:style>
  <w:style w:type="character" w:styleId="624">
    <w:name w:val="Гиперссылка"/>
    <w:next w:val="624"/>
    <w:link w:val="618"/>
    <w:uiPriority w:val="99"/>
    <w:unhideWhenUsed/>
    <w:rPr>
      <w:color w:val="0000ff"/>
      <w:u w:val="single"/>
    </w:rPr>
  </w:style>
  <w:style w:type="paragraph" w:styleId="625">
    <w:name w:val="ConsPlusNonformat"/>
    <w:next w:val="625"/>
    <w:link w:val="618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626">
    <w:name w:val="Обычный (веб)"/>
    <w:basedOn w:val="618"/>
    <w:next w:val="626"/>
    <w:link w:val="618"/>
    <w:pPr>
      <w:spacing w:before="240" w:after="240"/>
      <w:widowControl/>
    </w:pPr>
    <w:rPr>
      <w:sz w:val="24"/>
      <w:szCs w:val="24"/>
    </w:rPr>
  </w:style>
  <w:style w:type="character" w:styleId="1993" w:default="1">
    <w:name w:val="Default Paragraph Font"/>
    <w:uiPriority w:val="1"/>
    <w:semiHidden/>
    <w:unhideWhenUsed/>
  </w:style>
  <w:style w:type="numbering" w:styleId="1994" w:default="1">
    <w:name w:val="No List"/>
    <w:uiPriority w:val="99"/>
    <w:semiHidden/>
    <w:unhideWhenUsed/>
  </w:style>
  <w:style w:type="table" w:styleId="199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3</cp:revision>
  <dcterms:created xsi:type="dcterms:W3CDTF">2026-04-16T15:14:00Z</dcterms:created>
  <dcterms:modified xsi:type="dcterms:W3CDTF">2026-04-16T15:56:55Z</dcterms:modified>
  <cp:version>1048576</cp:version>
</cp:coreProperties>
</file>