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7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Крым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Шелатоня Николая Сергеевича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Шелатоня Николая Сергеевича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17.01.1979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Джанкой Крымской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182-105-643 41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910510099950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296100, Республика Крым, Джанкой, РФ, Республика Крым, г. Джанкой, ул. Ленина, дом 7, кв.9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№ лот</w:t>
                  </w:r>
                  <w:r>
                    <w:t xml:space="preserve">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KIA CARENS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Н763ЕУ82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</w:rPr>
                    <w:t xml:space="preserve">KNEFC524135318237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KNEFC524135318237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бордовый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1965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549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7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364 000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7"/>
                    <w:jc w:val="center"/>
                  </w:pPr>
                  <w:r/>
                  <w:r/>
                </w:p>
              </w:tc>
            </w:tr>
          </w:tbl>
          <w:p>
            <w:pPr>
              <w:pStyle w:val="617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296100, Республика Крым, Джанкой, РФ, Республика Крым, г. Джанкой, ул. Ленина, дом 7, кв.9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rPr>
                <w:sz w:val="20"/>
                <w:szCs w:val="20"/>
              </w:rPr>
              <w:t xml:space="preserve">89600</w:t>
            </w:r>
            <w:r>
              <w:rPr>
                <w:sz w:val="20"/>
                <w:szCs w:val="20"/>
              </w:rP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7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Финансовый управляющий </w:t>
            </w:r>
            <w:r>
              <w:t xml:space="preserve">Шелатоня Николая Сергеевича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</w:t>
            </w:r>
            <w:r>
              <w:t xml:space="preserve">ражного суда Республики Крым от 11.11.2025 г. по делу № А83-19609/2025</w:t>
            </w:r>
            <w:r/>
          </w:p>
          <w:p>
            <w:pPr>
              <w:pStyle w:val="617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7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7"/>
            </w:pPr>
            <w:r>
              <w:t xml:space="preserve">- определяет у</w:t>
            </w:r>
            <w:r>
              <w:t xml:space="preserve">частников торгов;</w:t>
            </w:r>
            <w:r/>
          </w:p>
          <w:p>
            <w:pPr>
              <w:pStyle w:val="617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7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7"/>
            </w:pPr>
            <w:r>
              <w:t xml:space="preserve">Сведения об организаторе торгов:</w:t>
            </w:r>
            <w:r/>
          </w:p>
          <w:p>
            <w:pPr>
              <w:pStyle w:val="617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</w:t>
            </w:r>
            <w:r>
              <w:t xml:space="preserve">скресенская, 59, 2 этаж</w:t>
            </w:r>
            <w:r/>
          </w:p>
          <w:p>
            <w:pPr>
              <w:pStyle w:val="617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7"/>
            </w:pPr>
            <w:r>
              <w:t xml:space="preserve">- контактный номер: </w:t>
            </w:r>
            <w:r>
              <w:rPr>
                <w:sz w:val="20"/>
                <w:szCs w:val="20"/>
              </w:rPr>
              <w:t xml:space="preserve">89600</w:t>
            </w:r>
            <w:r>
              <w:rPr>
                <w:sz w:val="20"/>
                <w:szCs w:val="20"/>
              </w:rPr>
              <w:t xml:space="preserve">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должника осуществляется путем проведения </w:t>
            </w:r>
            <w:r>
              <w:t xml:space="preserve">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Торги проводятся в электронной форме на электронной 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7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</w:t>
            </w:r>
            <w:r>
              <w:t xml:space="preserve">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7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7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7"/>
            </w:pPr>
            <w:r>
              <w:t xml:space="preserve">Получатель: </w:t>
            </w:r>
            <w:r>
              <w:t xml:space="preserve">Шелатонь Николай Сергеевич</w:t>
            </w:r>
            <w:r/>
            <w:r/>
          </w:p>
          <w:p>
            <w:pPr>
              <w:pStyle w:val="617"/>
            </w:pPr>
            <w:r>
              <w:t xml:space="preserve">Номер счёта: </w:t>
            </w:r>
            <w:r>
              <w:t xml:space="preserve">40817810650223337459</w:t>
            </w:r>
            <w:r/>
            <w:r/>
          </w:p>
          <w:p>
            <w:pPr>
              <w:pStyle w:val="617"/>
            </w:pPr>
            <w:r>
              <w:t xml:space="preserve">Банк получателя: </w:t>
            </w:r>
            <w:r>
              <w:t xml:space="preserve">ФИЛИАЛ "ЦЕНТРАЛЬНЫЙ" ПАО "СОВКОМБАНК"</w:t>
            </w:r>
            <w:r/>
            <w:r/>
            <w:r/>
          </w:p>
          <w:p>
            <w:pPr>
              <w:pStyle w:val="617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7"/>
            </w:pPr>
            <w:r>
              <w:t xml:space="preserve">Корр. счёт: </w:t>
            </w:r>
            <w:r>
              <w:t xml:space="preserve">30101810150040000763</w:t>
            </w:r>
            <w:r/>
            <w:r/>
            <w:r/>
          </w:p>
          <w:p>
            <w:pPr>
              <w:pStyle w:val="617"/>
            </w:pPr>
            <w:r>
              <w:t xml:space="preserve">ИНН: </w:t>
            </w:r>
            <w:r>
              <w:t xml:space="preserve">4401116480 </w:t>
            </w:r>
            <w:r/>
            <w:r/>
          </w:p>
          <w:p>
            <w:pPr>
              <w:pStyle w:val="617"/>
            </w:pPr>
            <w:r>
              <w:t xml:space="preserve">КПП: </w:t>
            </w:r>
            <w:r>
              <w:t xml:space="preserve">544543001</w:t>
            </w:r>
            <w:r/>
            <w:r/>
          </w:p>
          <w:p>
            <w:pPr>
              <w:pStyle w:val="617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7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7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7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7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7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7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7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7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7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7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7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7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7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7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7"/>
            </w:pPr>
            <w:r>
              <w:t xml:space="preserve">а) наименование, организационно-правовая форма, место нахождения, почтовый адр</w:t>
            </w:r>
            <w:r>
              <w:t xml:space="preserve">ес заявителя (для юридического лица);</w:t>
            </w:r>
            <w:r/>
          </w:p>
          <w:p>
            <w:pPr>
              <w:pStyle w:val="617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7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7"/>
            </w:pPr>
            <w:r>
              <w:t xml:space="preserve">г) с</w:t>
            </w:r>
            <w:r>
              <w:t xml:space="preserve">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7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</w:t>
            </w:r>
            <w:r>
              <w:t xml:space="preserve">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7"/>
            </w:pPr>
            <w:r>
              <w:t xml:space="preserve">Для участия в открытых торгах заявитель представляет оператору электронной площадки в фо</w:t>
            </w:r>
            <w:r>
              <w:t xml:space="preserve">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</w:t>
            </w:r>
            <w:r>
              <w:t xml:space="preserve">ении о продаже, без представления подписанного договора о задатке. В этом случае пер</w:t>
            </w:r>
            <w:r>
              <w:t xml:space="preserve">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7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7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</w:t>
            </w:r>
            <w:r>
              <w:t xml:space="preserve">дставления новой заявки, при этом первоначальная заявка должна быть отозвана.</w:t>
            </w:r>
            <w:r/>
          </w:p>
          <w:p>
            <w:pPr>
              <w:pStyle w:val="617"/>
            </w:pPr>
            <w:r>
              <w:t xml:space="preserve">В течение тридцати минут с момента представления заявки на участие в торгах такая заявка с помощью п</w:t>
            </w:r>
            <w:r>
              <w:t xml:space="preserve">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</w:t>
            </w:r>
            <w:r>
              <w:t xml:space="preserve">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/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Не позднее тридцати минут после окончания срока представления заявок на учас</w:t>
            </w:r>
            <w:r>
              <w:t xml:space="preserve">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7"/>
            </w:pPr>
            <w:r>
              <w:t xml:space="preserve">О</w:t>
            </w:r>
            <w:r>
              <w:t xml:space="preserve">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7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</w:t>
            </w:r>
            <w:r>
              <w:t xml:space="preserve">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7"/>
            </w:pPr>
            <w:r>
              <w:t xml:space="preserve">К участию в торгах допускаются заявители, представившие заявки н</w:t>
            </w:r>
            <w:r>
              <w:t xml:space="preserve">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7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7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7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7"/>
            </w:pPr>
            <w:r>
              <w:t xml:space="preserve">- поступление задат</w:t>
            </w:r>
            <w:r>
              <w:t xml:space="preserve">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7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</w:t>
            </w:r>
            <w:r>
              <w:t xml:space="preserve"> времени, оставшегося до истечения срока представления таких предложений. </w:t>
            </w:r>
            <w:r/>
          </w:p>
          <w:p>
            <w:pPr>
              <w:pStyle w:val="617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7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</w:t>
            </w:r>
            <w:r>
              <w:t xml:space="preserve">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</w:t>
            </w:r>
            <w:r>
              <w:t xml:space="preserve">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7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</w:t>
            </w:r>
            <w:r>
              <w:t xml:space="preserve"> программно-аппаратных средств сайта завершаются автоматически.</w:t>
            </w:r>
            <w:r/>
          </w:p>
          <w:p>
            <w:pPr>
              <w:pStyle w:val="617"/>
            </w:pPr>
            <w:r>
              <w:t xml:space="preserve">Во время проведения торгов с помощью программно-аппаратных средств сайта предложение о цене в момент его</w:t>
            </w:r>
            <w:r>
              <w:t xml:space="preserve">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7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7"/>
            </w:pPr>
            <w:r>
              <w:t xml:space="preserve">б) предложение о цене увеличено в разм</w:t>
            </w:r>
            <w:r>
              <w:t xml:space="preserve">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7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7"/>
            </w:pPr>
            <w:r>
              <w:t xml:space="preserve">Выигравшим аукцион признает</w:t>
            </w:r>
            <w:r>
              <w:t xml:space="preserve">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7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</w:t>
            </w:r>
            <w:r>
              <w:t xml:space="preserve">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7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7"/>
            </w:pPr>
            <w:r>
              <w:t xml:space="preserve">Не позднее тридцати минут после размещения на </w:t>
            </w:r>
            <w:r>
              <w:t xml:space="preserve">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</w:t>
            </w:r>
            <w:r>
              <w:t xml:space="preserve">а участие в торгах.</w:t>
            </w:r>
            <w:r/>
          </w:p>
          <w:p>
            <w:pPr>
              <w:pStyle w:val="617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7"/>
            </w:pPr>
            <w:r>
              <w:t xml:space="preserve">Оператором электронной площадки с помощью программно-аппаратных средств сайта формируе</w:t>
            </w:r>
            <w:r>
              <w:t xml:space="preserve">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7"/>
            </w:pPr>
            <w:r>
              <w:t xml:space="preserve">окончания срока представления заявок на участие в торгах</w:t>
            </w:r>
            <w:r>
              <w:t xml:space="preserve"> при отсутствии заявок на участие в торгах;</w:t>
            </w:r>
            <w:r/>
          </w:p>
          <w:p>
            <w:pPr>
              <w:pStyle w:val="617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7"/>
            </w:pPr>
            <w:r>
              <w:t xml:space="preserve">Организатор торгов рассматривает, подписывает квалифицированной электр</w:t>
            </w:r>
            <w:r>
              <w:t xml:space="preserve">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7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7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7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7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7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7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7"/>
            </w:pPr>
            <w:r>
              <w:t xml:space="preserve">Получатель: </w:t>
            </w:r>
            <w:r>
              <w:t xml:space="preserve">Шелатонь Николай Сергеевич</w:t>
            </w:r>
            <w:r/>
            <w:r/>
          </w:p>
          <w:p>
            <w:pPr>
              <w:pStyle w:val="617"/>
            </w:pPr>
            <w:r>
              <w:t xml:space="preserve">Номер счёта: </w:t>
            </w:r>
            <w:r>
              <w:t xml:space="preserve">40817810650223337459</w:t>
            </w:r>
            <w:r/>
            <w:r/>
          </w:p>
          <w:p>
            <w:pPr>
              <w:pStyle w:val="617"/>
            </w:pPr>
            <w:r>
              <w:t xml:space="preserve">Банк получателя: </w:t>
            </w:r>
            <w:r>
              <w:t xml:space="preserve">ФИЛИАЛ "ЦЕНТРАЛЬНЫЙ" ПАО "СОВКОМБАНК"</w:t>
            </w:r>
            <w:r/>
            <w:r/>
          </w:p>
          <w:p>
            <w:pPr>
              <w:pStyle w:val="617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7"/>
            </w:pPr>
            <w:r>
              <w:t xml:space="preserve">Корр. счёт: </w:t>
            </w:r>
            <w:r>
              <w:t xml:space="preserve">30101810150040000763</w:t>
            </w:r>
            <w:r/>
            <w:r/>
          </w:p>
          <w:p>
            <w:pPr>
              <w:pStyle w:val="617"/>
            </w:pPr>
            <w:r>
              <w:t xml:space="preserve">ИНН: </w:t>
            </w:r>
            <w:r>
              <w:t xml:space="preserve">4401116480 </w:t>
            </w:r>
            <w:r/>
            <w:r/>
          </w:p>
          <w:p>
            <w:pPr>
              <w:pStyle w:val="617"/>
            </w:pPr>
            <w:r>
              <w:t xml:space="preserve">КПП: </w:t>
            </w:r>
            <w:r>
              <w:t xml:space="preserve">544543001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7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7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7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7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7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7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7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3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3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7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7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7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7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7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7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7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7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7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7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7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7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7"/>
            </w:pPr>
            <w:r/>
          </w:p>
          <w:p>
            <w:pPr>
              <w:pStyle w:val="617"/>
            </w:pPr>
            <w:r/>
          </w:p>
        </w:tc>
      </w:tr>
    </w:tbl>
    <w:p>
      <w:pPr>
        <w:pStyle w:val="617"/>
      </w:pPr>
      <w:r/>
      <w:r/>
    </w:p>
    <w:p>
      <w:pPr>
        <w:pStyle w:val="617"/>
        <w:jc w:val="both"/>
      </w:pPr>
      <w:r/>
      <w:r/>
    </w:p>
    <w:p>
      <w:pPr>
        <w:pStyle w:val="617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4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7"/>
            </w:pPr>
            <w:r/>
            <w:r/>
          </w:p>
          <w:p>
            <w:pPr>
              <w:pStyle w:val="617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Шелатоня Николая Сергеевича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7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7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7"/>
    <w:next w:val="61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7"/>
    <w:next w:val="61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7"/>
    <w:next w:val="617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7"/>
    <w:next w:val="61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7"/>
    <w:next w:val="61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7"/>
    <w:next w:val="61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7"/>
    <w:next w:val="61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7"/>
    <w:next w:val="61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7"/>
    <w:next w:val="61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7"/>
    <w:next w:val="61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7"/>
    <w:next w:val="61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7"/>
    <w:next w:val="61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7"/>
    <w:next w:val="61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7"/>
    <w:next w:val="61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next w:val="617"/>
    <w:link w:val="617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8">
    <w:name w:val="Основной шрифт абзаца"/>
    <w:next w:val="618"/>
    <w:link w:val="617"/>
    <w:uiPriority w:val="1"/>
    <w:semiHidden/>
    <w:unhideWhenUsed/>
  </w:style>
  <w:style w:type="table" w:styleId="619">
    <w:name w:val="Обычная таблица"/>
    <w:next w:val="619"/>
    <w:link w:val="617"/>
    <w:uiPriority w:val="99"/>
    <w:semiHidden/>
    <w:unhideWhenUsed/>
    <w:tblPr/>
  </w:style>
  <w:style w:type="numbering" w:styleId="620">
    <w:name w:val="Нет списка"/>
    <w:next w:val="620"/>
    <w:link w:val="617"/>
    <w:uiPriority w:val="99"/>
    <w:semiHidden/>
    <w:unhideWhenUsed/>
  </w:style>
  <w:style w:type="paragraph" w:styleId="621">
    <w:name w:val="Обычный1"/>
    <w:next w:val="621"/>
    <w:link w:val="617"/>
    <w:rPr>
      <w:rFonts w:ascii="Times New Roman" w:hAnsi="Times New Roman" w:eastAsia="Times New Roman"/>
      <w:lang w:val="ru-RU" w:eastAsia="ru-RU" w:bidi="ar-SA"/>
    </w:rPr>
  </w:style>
  <w:style w:type="table" w:styleId="622">
    <w:name w:val="Сетка таблицы"/>
    <w:basedOn w:val="619"/>
    <w:next w:val="622"/>
    <w:link w:val="617"/>
    <w:uiPriority w:val="59"/>
    <w:pPr>
      <w:spacing w:after="0" w:line="240" w:lineRule="auto"/>
    </w:pPr>
    <w:tblPr/>
  </w:style>
  <w:style w:type="character" w:styleId="623">
    <w:name w:val="Гиперссылка"/>
    <w:next w:val="623"/>
    <w:link w:val="617"/>
    <w:uiPriority w:val="99"/>
    <w:unhideWhenUsed/>
    <w:rPr>
      <w:color w:val="0000ff"/>
      <w:u w:val="single"/>
    </w:rPr>
  </w:style>
  <w:style w:type="paragraph" w:styleId="624">
    <w:name w:val="ConsPlusNonformat"/>
    <w:next w:val="624"/>
    <w:link w:val="617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5">
    <w:name w:val="Обычный (веб)"/>
    <w:basedOn w:val="617"/>
    <w:next w:val="625"/>
    <w:link w:val="617"/>
    <w:pPr>
      <w:spacing w:before="240" w:after="240"/>
      <w:widowControl/>
    </w:pPr>
    <w:rPr>
      <w:sz w:val="24"/>
      <w:szCs w:val="24"/>
    </w:rPr>
  </w:style>
  <w:style w:type="character" w:styleId="1993" w:default="1">
    <w:name w:val="Default Paragraph Font"/>
    <w:uiPriority w:val="1"/>
    <w:semiHidden/>
    <w:unhideWhenUsed/>
  </w:style>
  <w:style w:type="numbering" w:styleId="1994" w:default="1">
    <w:name w:val="No List"/>
    <w:uiPriority w:val="99"/>
    <w:semiHidden/>
    <w:unhideWhenUsed/>
  </w:style>
  <w:style w:type="table" w:styleId="1995" w:default="1">
    <w:name w:val="Normal Table"/>
    <w:uiPriority w:val="99"/>
    <w:semiHidden/>
    <w:unhideWhenUsed/>
    <w:tblPr/>
  </w:style>
  <w:style w:type="paragraph" w:styleId="1_1315" w:customStyle="1">
    <w:name w:val="indent"/>
    <w:basedOn w:val="619"/>
    <w:next w:val="633"/>
    <w:link w:val="619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2026-04-09T14:46:00Z</dcterms:created>
  <dcterms:modified xsi:type="dcterms:W3CDTF">2026-04-09T16:29:35Z</dcterms:modified>
  <cp:version>1048576</cp:version>
</cp:coreProperties>
</file>