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</w:tblGrid>
      <w:tr>
        <w:tblPrEx/>
        <w:trPr>
          <w:jc w:val="right"/>
          <w:trHeight w:val="1126"/>
        </w:trPr>
        <w:tc>
          <w:tcPr>
            <w:tcW w:w="6095" w:type="dxa"/>
            <w:textDirection w:val="lrTb"/>
            <w:noWrap w:val="false"/>
          </w:tcPr>
          <w:p>
            <w:pPr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Иркутской области</w:t>
            </w:r>
            <w:r>
              <w:rPr>
                <w:i/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Андрющенко Ивана Александровича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Андрющенко Ивана Александровича</w:t>
      </w:r>
      <w:r>
        <w:rPr>
          <w:b/>
          <w:sz w:val="24"/>
          <w:szCs w:val="24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17.11.1990</w:t>
      </w:r>
      <w:r>
        <w:rPr>
          <w:sz w:val="24"/>
          <w:szCs w:val="24"/>
        </w:rPr>
        <w:t xml:space="preserve">, место рождения: </w:t>
      </w:r>
      <w:r>
        <w:rPr>
          <w:sz w:val="24"/>
          <w:szCs w:val="24"/>
        </w:rPr>
        <w:t xml:space="preserve">гор. Черемхово Иркутской обл.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137-691-798 12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385101144575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665409, Иркутская область, г Черемхово, пер Седова, д 40, кв 8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6"/>
        <w:gridCol w:w="1820"/>
        <w:gridCol w:w="7059"/>
      </w:tblGrid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textDirection w:val="lrTb"/>
            <w:noWrap w:val="false"/>
          </w:tcPr>
          <w:tbl>
            <w:tblPr>
              <w:tblW w:w="683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Автомобиль марки: </w:t>
                  </w:r>
                  <w:r>
                    <w:rPr>
                      <w:lang w:val="en-US"/>
                    </w:rPr>
                    <w:t xml:space="preserve">TOYOTA</w:t>
                  </w:r>
                  <w:r>
                    <w:t xml:space="preserve"> </w:t>
                  </w:r>
                  <w:r>
                    <w:rPr>
                      <w:lang w:val="en-US"/>
                    </w:rPr>
                    <w:t xml:space="preserve">PROBOX</w:t>
                  </w:r>
                  <w:r>
                    <w:t xml:space="preserve"> </w:t>
                  </w:r>
                  <w:r>
                    <w:t xml:space="preserve">Год выпуска: </w:t>
                  </w:r>
                  <w:r>
                    <w:t xml:space="preserve">2003 </w:t>
                  </w:r>
                  <w:r>
                    <w:t xml:space="preserve">Государственный регистрационный знак:</w:t>
                  </w:r>
                  <w:r>
                    <w:t xml:space="preserve"> О800КМ138</w:t>
                  </w:r>
                  <w:r>
                    <w:t xml:space="preserve"> Идентификационный номер:</w:t>
                  </w:r>
                  <w:r>
                    <w:t xml:space="preserve"> отсутствует</w:t>
                  </w:r>
                  <w:r>
                    <w:t xml:space="preserve"> </w:t>
                  </w:r>
                  <w:r>
                    <w:t xml:space="preserve">Тип ТС: Легковой </w:t>
                  </w:r>
                  <w:r>
                    <w:t xml:space="preserve">универсал</w:t>
                  </w:r>
                  <w:r>
                    <w:t xml:space="preserve"> </w:t>
                  </w:r>
                  <w:r>
                    <w:t xml:space="preserve">Шасси (рама) №: </w:t>
                  </w:r>
                  <w:r>
                    <w:t xml:space="preserve">отсутствует </w:t>
                  </w:r>
                  <w:r>
                    <w:t xml:space="preserve"> </w:t>
                  </w:r>
                  <w:r>
                    <w:t xml:space="preserve">Кузов: :</w:t>
                  </w:r>
                  <w:r>
                    <w:t xml:space="preserve"> </w:t>
                  </w:r>
                  <w:r>
                    <w:rPr>
                      <w:lang w:val="en-US"/>
                    </w:rPr>
                    <w:t xml:space="preserve">NCP</w:t>
                  </w:r>
                  <w:r>
                    <w:t xml:space="preserve">51-0023805</w:t>
                  </w:r>
                  <w:r>
                    <w:t xml:space="preserve">  </w:t>
                  </w:r>
                  <w:r>
                    <w:t xml:space="preserve"> Цвет кузова: </w:t>
                  </w:r>
                  <w:r>
                    <w:t xml:space="preserve">белый</w:t>
                  </w:r>
                  <w:r/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262000</w:t>
                  </w:r>
                  <w:r/>
                </w:p>
              </w:tc>
            </w:tr>
          </w:tbl>
          <w:p>
            <w:r>
              <w:t xml:space="preserve">Ознакомление с имуществом производится по адресу: </w:t>
            </w:r>
            <w:r>
              <w:rPr>
                <w:sz w:val="24"/>
                <w:szCs w:val="24"/>
              </w:rPr>
              <w:t xml:space="preserve">Иркутская область, г Черемхово, пер Седова, д 40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/>
            <w:r>
              <w:t xml:space="preserve">89600</w:t>
            </w:r>
            <w:r>
              <w:t xml:space="preserve">09</w:t>
            </w:r>
            <w:r>
              <w:t xml:space="preserve">1050</w:t>
            </w:r>
            <w:r/>
            <w:r/>
            <w:r>
              <w:t xml:space="preserve">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Сроки продажи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Организатор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Финансовый управляющий </w:t>
            </w:r>
            <w:r>
              <w:t xml:space="preserve">Андрющенко Ивана Александровича</w:t>
            </w:r>
            <w:r>
              <w:t xml:space="preserve"> </w:t>
            </w:r>
            <w:r>
              <w:t xml:space="preserve">Косточкина Мария Васильевна</w:t>
            </w:r>
            <w:r>
              <w:t xml:space="preserve">, </w:t>
            </w:r>
            <w:r>
              <w:t xml:space="preserve">действующий на основании решения Арбитражного суда Иркутской области от 15.07.2025 г. по делу № А19-9582/2025</w:t>
            </w:r>
            <w:r/>
          </w:p>
          <w:p>
            <w:r>
              <w:t xml:space="preserve">Организатор торгов выполняет следующие функции:</w:t>
            </w:r>
            <w:r/>
          </w:p>
          <w:p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r>
              <w:t xml:space="preserve">- определяет участников торгов;</w:t>
            </w:r>
            <w:r/>
          </w:p>
          <w:p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</w:p>
          <w:p>
            <w:r>
              <w:t xml:space="preserve">Сведения об организаторе торгов:</w:t>
            </w:r>
            <w:r/>
          </w:p>
          <w:p>
            <w:r>
              <w:t xml:space="preserve">- почтовый адрес:</w:t>
            </w:r>
            <w:r>
              <w:t xml:space="preserve"> </w:t>
            </w:r>
            <w:r>
              <w:t xml:space="preserve">163046, Архангельская область, Архангельск, Воскресенская, 59, 2 этаж</w:t>
            </w:r>
            <w:r/>
          </w:p>
          <w:p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r>
              <w:t xml:space="preserve">- контактный номер: </w:t>
            </w:r>
            <w:r/>
            <w:r>
              <w:t xml:space="preserve">89600</w:t>
            </w:r>
            <w:r>
              <w:t xml:space="preserve">09</w:t>
            </w:r>
            <w:r>
              <w:t xml:space="preserve">1050</w:t>
            </w:r>
            <w:r/>
            <w:r/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Продажа имущества должника осуществляется путем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5.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Место проведения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Торги проводятся в электронной форме на электронной площадке</w:t>
            </w:r>
            <w:r>
              <w:t xml:space="preserve"> «Аукцион</w:t>
            </w:r>
            <w:r>
              <w:rPr>
                <w:lang w:val="en-US"/>
              </w:rPr>
              <w:t xml:space="preserve">PRO</w:t>
            </w:r>
            <w:r>
              <w:t xml:space="preserve">»</w:t>
            </w:r>
            <w:r>
              <w:t xml:space="preserve">, размещенной на сайте </w:t>
            </w:r>
            <w:r>
              <w:rPr>
                <w:lang w:val="en-US"/>
              </w:rPr>
              <w:t xml:space="preserve">au</w:t>
            </w:r>
            <w:r>
              <w:t xml:space="preserve">-</w:t>
            </w:r>
            <w:r>
              <w:rPr>
                <w:lang w:val="en-US"/>
              </w:rPr>
              <w:t xml:space="preserve">pro</w:t>
            </w:r>
            <w:r>
              <w:t xml:space="preserve">.</w:t>
            </w:r>
            <w:r>
              <w:rPr>
                <w:lang w:val="en-US"/>
              </w:rPr>
              <w:t xml:space="preserve">ru</w:t>
            </w:r>
            <w:r>
              <w:t xml:space="preserve"> в сети Интернет.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6.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Размер задатка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Лот № 1: 10%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7.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1. Срок внесения задатка - не позднее даты окончания срока приема заявок на участие в торгах. 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2. Внесение задатка осуществляется по следующим реквизитам: 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Валюта получаемого перевода: Российский рубль (RUB)</w:t>
            </w:r>
            <w:r/>
          </w:p>
          <w:p>
            <w:r>
              <w:rPr>
                <w:color w:val="000000"/>
              </w:rPr>
              <w:t xml:space="preserve">Валюта получаемого перевода: Российский рубль (RUB)</w:t>
            </w:r>
            <w:r>
              <w:rPr>
                <w:color w:val="000000"/>
              </w:rPr>
              <w:br/>
              <w:t xml:space="preserve">Получатель: Андрющенко Иван Александрович</w:t>
            </w:r>
            <w:r>
              <w:rPr>
                <w:color w:val="000000"/>
              </w:rPr>
              <w:br/>
              <w:t xml:space="preserve">Номер счёта: 40817810350221903800</w:t>
            </w:r>
            <w:r>
              <w:rPr>
                <w:color w:val="000000"/>
              </w:rPr>
              <w:br/>
              <w:t xml:space="preserve">Банк получателя: ФИЛИАЛ "ЦЕНТРАЛЬНЫЙ" ПАО "СОВКОМБАНК"</w:t>
            </w:r>
            <w:r>
              <w:rPr>
                <w:color w:val="000000"/>
              </w:rPr>
              <w:br/>
              <w:t xml:space="preserve">БИК: 045004763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 xml:space="preserve">Корр. счёт: 30101810150040000763</w:t>
            </w:r>
            <w:r>
              <w:rPr>
                <w:color w:val="000000"/>
              </w:rPr>
              <w:br/>
              <w:t xml:space="preserve">ИНН: 4401116480</w:t>
            </w:r>
            <w:r>
              <w:rPr>
                <w:color w:val="000000"/>
              </w:rPr>
              <w:br/>
              <w:t xml:space="preserve">КПП: 544543001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8.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Шаг аукциона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Лот № 1: 10%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9.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Текст сообщения должен содержать следующие сведения: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размер задатка, сроки и порядок внесения задатка, реквизиты счетов, на которые вносится задаток;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критерии выявления победителя торгов;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дата, время и место подведения результатов торгов;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сроки платежей, реквизиты счетов, на которые вносятся платежи;</w:t>
            </w:r>
            <w:r/>
          </w:p>
          <w:p>
            <w:r>
              <w:rPr>
                <w:color w:val="000000"/>
              </w:rP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10.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г) сведения о наличии или об отсутствии заинтересованности заявителя по отношению к должнику, кредиторам, арбит</w:t>
            </w:r>
            <w:r>
              <w:rPr>
                <w:color w:val="000000"/>
                <w:sz w:val="20"/>
                <w:szCs w:val="20"/>
              </w:rP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Для участия в открытых торгах заяв</w:t>
            </w:r>
            <w:r>
              <w:rPr>
                <w:color w:val="000000"/>
                <w:sz w:val="20"/>
                <w:szCs w:val="20"/>
              </w:rPr>
              <w:t xml:space="preserve">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rPr>
                <w:color w:val="000000"/>
                <w:sz w:val="20"/>
                <w:szCs w:val="20"/>
              </w:rP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</w:t>
            </w:r>
            <w:r>
              <w:rPr>
                <w:color w:val="000000"/>
                <w:sz w:val="20"/>
                <w:szCs w:val="20"/>
              </w:rP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r>
              <w:rPr>
                <w:color w:val="000000"/>
              </w:rP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</w:t>
            </w:r>
            <w:r>
              <w:rPr>
                <w:color w:val="000000"/>
              </w:rPr>
              <w:t xml:space="preserve">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окон</w:t>
            </w:r>
            <w:r>
              <w:rPr>
                <w:color w:val="000000"/>
                <w:sz w:val="20"/>
                <w:szCs w:val="20"/>
              </w:rP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rPr>
                <w:color w:val="000000"/>
                <w:sz w:val="20"/>
                <w:szCs w:val="20"/>
              </w:rP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календарных дней со дня подписания и направлени</w:t>
            </w:r>
            <w:r>
              <w:rPr>
                <w:color w:val="000000"/>
                <w:sz w:val="20"/>
                <w:szCs w:val="20"/>
              </w:rPr>
              <w:t xml:space="preserve">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</w:t>
            </w:r>
            <w:r>
              <w:rPr>
                <w:color w:val="000000"/>
                <w:sz w:val="20"/>
                <w:szCs w:val="20"/>
              </w:rPr>
              <w:t xml:space="preserve">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К участи</w:t>
            </w:r>
            <w:r>
              <w:rPr>
                <w:color w:val="000000"/>
                <w:sz w:val="20"/>
                <w:szCs w:val="20"/>
              </w:rP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r>
              <w:rPr>
                <w:color w:val="000000"/>
              </w:rP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rPr>
                <w:color w:val="000000"/>
                <w:sz w:val="20"/>
                <w:szCs w:val="20"/>
              </w:rP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r>
              <w:rPr>
                <w:color w:val="000000"/>
              </w:rP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</w:t>
            </w:r>
            <w:r>
              <w:rPr>
                <w:color w:val="000000"/>
                <w:sz w:val="20"/>
                <w:szCs w:val="20"/>
              </w:rPr>
              <w:t xml:space="preserve">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размещения</w:t>
            </w:r>
            <w:r>
              <w:rPr>
                <w:color w:val="000000"/>
                <w:sz w:val="20"/>
                <w:szCs w:val="20"/>
              </w:rP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</w:t>
            </w:r>
            <w:r>
              <w:rPr>
                <w:color w:val="000000"/>
                <w:sz w:val="20"/>
                <w:szCs w:val="20"/>
              </w:rP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r>
              <w:rPr>
                <w:color w:val="000000"/>
              </w:rPr>
              <w:t xml:space="preserve">Если к участию в торгах был допущен тол</w:t>
            </w:r>
            <w:r>
              <w:rPr>
                <w:color w:val="000000"/>
              </w:rPr>
              <w:t xml:space="preserve">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и срок заключения договора купли-продажи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дней</w:t>
            </w:r>
            <w:r>
              <w:rPr>
                <w:color w:val="000000"/>
                <w:sz w:val="20"/>
                <w:szCs w:val="20"/>
              </w:rP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r>
              <w:rPr>
                <w:color w:val="000000"/>
              </w:rPr>
              <w:t xml:space="preserve">В случае отказа или уклонения победителя торгов от подписания договора купли-продажи имущест</w:t>
            </w:r>
            <w:r>
              <w:rPr>
                <w:color w:val="000000"/>
              </w:rPr>
              <w:t xml:space="preserve">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</w:t>
            </w:r>
            <w:r>
              <w:rPr>
                <w:color w:val="000000"/>
              </w:rPr>
              <w:t xml:space="preserve">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</w:p>
          <w:p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Валюта получаемого перевода: Российский рубль (RUB)</w:t>
            </w:r>
            <w:r>
              <w:rPr>
                <w:color w:val="000000"/>
              </w:rPr>
              <w:br/>
              <w:t xml:space="preserve">Получатель: Андрющенко Иван Александрович</w:t>
            </w:r>
            <w:r>
              <w:rPr>
                <w:color w:val="000000"/>
              </w:rPr>
              <w:br/>
              <w:t xml:space="preserve">Номер счёта: 40817810350221903800</w:t>
            </w:r>
            <w:r>
              <w:rPr>
                <w:color w:val="000000"/>
              </w:rPr>
              <w:br/>
              <w:t xml:space="preserve">Банк получателя: ФИЛИАЛ "ЦЕНТРАЛЬНЫЙ" ПАО "СОВКОМБАНК"</w:t>
            </w:r>
            <w:r>
              <w:rPr>
                <w:color w:val="000000"/>
              </w:rPr>
              <w:br/>
              <w:t xml:space="preserve">БИК: 045004763</w:t>
            </w:r>
            <w:r>
              <w:rPr>
                <w:color w:val="000000"/>
              </w:rPr>
              <w:br/>
              <w:t xml:space="preserve">Корр. счёт: 30101810150040000763</w:t>
            </w:r>
            <w:r>
              <w:rPr>
                <w:color w:val="000000"/>
              </w:rPr>
              <w:br/>
              <w:t xml:space="preserve">ИНН: 4401116480</w:t>
            </w:r>
            <w:r>
              <w:rPr>
                <w:color w:val="000000"/>
              </w:rPr>
              <w:br/>
              <w:t xml:space="preserve">КПП: 544543001</w:t>
            </w:r>
            <w:r>
              <w:rPr>
                <w:color w:val="000000"/>
                <w:lang w:val="en-US"/>
              </w:rPr>
            </w:r>
          </w:p>
          <w:p>
            <w:r>
              <w:rPr>
                <w:color w:val="000000"/>
              </w:rPr>
              <w:t xml:space="preserve">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Обязательными условиями договора купли-продажи имущества являются: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об имуществе, его составе, характеристиках, описание имущества;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цена продажи имущества;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срок передачи имущества покупателю;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 наличии или об отсутствии обременении в отношении имущества, в том числе публичного сервитута;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иные предусмотренные законодательством Российской Федерации условия.</w:t>
            </w:r>
            <w:r/>
          </w:p>
          <w:p>
            <w:r>
              <w:rPr>
                <w:color w:val="000000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rPr>
                <w:color w:val="0000ff"/>
                <w:u w:val="single"/>
              </w:rPr>
              <w:t xml:space="preserve">законодательством</w:t>
            </w:r>
            <w:r>
              <w:rPr>
                <w:color w:val="000000"/>
              </w:rPr>
              <w:t xml:space="preserve"> Российской Федерации.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 признания торгов несостоявшимися и незаключения договора купли-продаж</w:t>
            </w:r>
            <w:r>
              <w:rPr>
                <w:color w:val="000000"/>
                <w:sz w:val="20"/>
                <w:szCs w:val="20"/>
              </w:rPr>
              <w:t xml:space="preserve">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</w:t>
            </w:r>
            <w:r>
              <w:rPr>
                <w:color w:val="000000"/>
                <w:sz w:val="20"/>
                <w:szCs w:val="20"/>
              </w:rP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r>
              <w:rPr>
                <w:color w:val="000000"/>
              </w:rP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случае, если повторные торги по продаже имущества должника признаны несостоявш</w:t>
            </w:r>
            <w:r>
              <w:rPr>
                <w:color w:val="000000"/>
                <w:sz w:val="20"/>
                <w:szCs w:val="20"/>
              </w:rP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</w:t>
            </w:r>
            <w:r>
              <w:rPr>
                <w:color w:val="000000"/>
                <w:sz w:val="20"/>
                <w:szCs w:val="20"/>
              </w:rP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</w:t>
            </w:r>
            <w:r>
              <w:rPr>
                <w:color w:val="000000"/>
                <w:sz w:val="20"/>
                <w:szCs w:val="20"/>
              </w:rPr>
              <w:t xml:space="preserve">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</w:t>
            </w:r>
            <w:r>
              <w:rPr>
                <w:color w:val="000000"/>
                <w:sz w:val="20"/>
                <w:szCs w:val="20"/>
              </w:rPr>
              <w:t xml:space="preserve">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</w:t>
            </w:r>
            <w:r>
              <w:rPr>
                <w:color w:val="000000"/>
                <w:sz w:val="20"/>
                <w:szCs w:val="20"/>
              </w:rPr>
              <w:t xml:space="preserve">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</w:t>
            </w:r>
            <w:r>
              <w:rPr>
                <w:color w:val="000000"/>
                <w:sz w:val="20"/>
                <w:szCs w:val="20"/>
              </w:rPr>
              <w:t xml:space="preserve">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</w:t>
            </w:r>
            <w:r>
              <w:rPr>
                <w:color w:val="000000"/>
                <w:sz w:val="20"/>
                <w:szCs w:val="20"/>
              </w:rP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При участии в торгах посредством публичного пред</w:t>
            </w:r>
            <w:r>
              <w:rPr>
                <w:color w:val="000000"/>
                <w:sz w:val="20"/>
                <w:szCs w:val="20"/>
              </w:rPr>
              <w:t xml:space="preserve">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Заявки на участие в торгах, поступившие в т</w:t>
            </w:r>
            <w:r>
              <w:rPr>
                <w:color w:val="000000"/>
                <w:sz w:val="20"/>
                <w:szCs w:val="20"/>
              </w:rP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Определение участников торгов, проводимых </w:t>
            </w:r>
            <w:r>
              <w:rPr>
                <w:color w:val="000000"/>
                <w:sz w:val="20"/>
                <w:szCs w:val="20"/>
              </w:rPr>
              <w:t xml:space="preserve">в форме публичного предложения</w:t>
            </w:r>
            <w:r>
              <w:rPr>
                <w:color w:val="000000"/>
                <w:sz w:val="20"/>
                <w:szCs w:val="20"/>
              </w:rPr>
              <w:t xml:space="preserve"> осуществляется в следующем порядке: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</w:t>
            </w:r>
            <w:r>
              <w:rPr>
                <w:color w:val="000000"/>
                <w:sz w:val="20"/>
                <w:szCs w:val="20"/>
              </w:rPr>
              <w:t xml:space="preserve">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</w:t>
            </w:r>
            <w:r>
              <w:rPr>
                <w:color w:val="000000"/>
                <w:sz w:val="20"/>
                <w:szCs w:val="20"/>
              </w:rPr>
              <w:t xml:space="preserve">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 результатам проведения торгов оператором электронной площадки </w:t>
            </w:r>
            <w:r>
              <w:rPr>
                <w:color w:val="000000"/>
                <w:sz w:val="20"/>
                <w:szCs w:val="20"/>
              </w:rPr>
              <w:t xml:space="preserve">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любого периода проведения </w:t>
            </w:r>
            <w:r>
              <w:rPr>
                <w:color w:val="000000"/>
                <w:sz w:val="20"/>
                <w:szCs w:val="20"/>
              </w:rPr>
              <w:t xml:space="preserve">торгов или по завершени</w:t>
            </w:r>
            <w:r>
              <w:rPr>
                <w:color w:val="000000"/>
                <w:sz w:val="20"/>
                <w:szCs w:val="20"/>
              </w:rPr>
              <w:t xml:space="preserve">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rPr>
                <w:color w:val="000000"/>
                <w:sz w:val="20"/>
                <w:szCs w:val="20"/>
              </w:rP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rPr>
                <w:color w:val="000000"/>
                <w:sz w:val="20"/>
                <w:szCs w:val="20"/>
              </w:rP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626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r>
              <w:rPr>
                <w:color w:val="000000"/>
              </w:rPr>
              <w:t xml:space="preserve">Не позднее тридцати минут после размещения на электронной площадке указанных прото</w:t>
            </w:r>
            <w:r>
              <w:rPr>
                <w:color w:val="000000"/>
              </w:rP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</w:tc>
      </w:tr>
    </w:tbl>
    <w:p>
      <w:r/>
      <w:r/>
    </w:p>
    <w:p>
      <w:pPr>
        <w:jc w:val="both"/>
      </w:pPr>
      <w:r/>
      <w:r/>
    </w:p>
    <w:p>
      <w:pPr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</w:t>
      </w:r>
      <w:r>
        <w:t xml:space="preserve">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W w:w="2484" w:type="pct"/>
            <w:textDirection w:val="lrTb"/>
            <w:noWrap w:val="false"/>
          </w:tcPr>
          <w:p>
            <w:r/>
            <w:r/>
          </w:p>
          <w:p>
            <w:r>
              <w:t xml:space="preserve">Финансовый управляющий</w:t>
            </w:r>
            <w:r>
              <w:rPr>
                <w:bCs/>
              </w:rPr>
              <w:br/>
            </w:r>
            <w:r>
              <w:t xml:space="preserve">Андрющенко Ивана Александровича</w:t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W w:w="2484" w:type="pct"/>
            <w:textDirection w:val="lrTb"/>
            <w:noWrap w:val="false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both"/>
      </w:pPr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  <w:pPr>
      <w:widowControl w:val="off"/>
    </w:pPr>
    <w:rPr>
      <w:rFonts w:ascii="Times New Roman" w:hAnsi="Times New Roman" w:eastAsia="Times New Roman"/>
    </w:rPr>
  </w:style>
  <w:style w:type="character" w:styleId="619" w:default="1">
    <w:name w:val="Default Paragraph Font"/>
    <w:uiPriority w:val="1"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paragraph" w:styleId="622" w:customStyle="1">
    <w:name w:val="Обычный1"/>
    <w:rPr>
      <w:rFonts w:ascii="Times New Roman" w:hAnsi="Times New Roman" w:eastAsia="Times New Roman"/>
    </w:rPr>
  </w:style>
  <w:style w:type="table" w:styleId="623">
    <w:name w:val="Table Grid"/>
    <w:basedOn w:val="62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24">
    <w:name w:val="Hyperlink"/>
    <w:uiPriority w:val="99"/>
    <w:unhideWhenUsed/>
    <w:rPr>
      <w:color w:val="0000ff"/>
      <w:u w:val="single"/>
    </w:rPr>
  </w:style>
  <w:style w:type="paragraph" w:styleId="625" w:customStyle="1">
    <w:name w:val="ConsPlusNonformat"/>
    <w:pPr>
      <w:widowControl w:val="off"/>
    </w:pPr>
    <w:rPr>
      <w:rFonts w:ascii="Courier New" w:hAnsi="Courier New" w:eastAsia="Times New Roman" w:cs="Courier New"/>
    </w:rPr>
  </w:style>
  <w:style w:type="paragraph" w:styleId="626">
    <w:name w:val="Обычный (веб)"/>
    <w:basedOn w:val="618"/>
    <w:uiPriority w:val="99"/>
    <w:pPr>
      <w:spacing w:before="240" w:after="240"/>
      <w:widowControl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alesh</cp:lastModifiedBy>
  <cp:revision>3</cp:revision>
  <dcterms:created xsi:type="dcterms:W3CDTF">2026-03-16T02:33:00Z</dcterms:created>
  <dcterms:modified xsi:type="dcterms:W3CDTF">2026-05-28T11:53:29Z</dcterms:modified>
</cp:coreProperties>
</file>