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Normal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ДОГОВОР О ЗАДАТКЕ</w:t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spacing w:after="0" w:line="240" w:lineRule="auto"/>
        <w:rPr>
          <w:rFonts w:ascii="Times New Roman" w:hAnsi="Times New Roman"/>
          <w:sz w:val="24"/>
          <w:szCs w:val="24"/>
        </w:rPr>
        <w:sectPr>
          <w:type w:val="nextPage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 xml:space="preserve">поселок Красные Ткачи</w:t>
      </w:r>
      <w:r>
        <w:rPr>
          <w:rFonts w:ascii="Times New Roman" w:hAnsi="Times New Roman"/>
          <w:sz w:val="24"/>
          <w:szCs w:val="24"/>
          <w:lang w:val="en-US"/>
        </w:rPr>
      </w:r>
    </w:p>
    <w:p>
      <w:pPr>
        <w:pStyle w:val="Normal"/>
        <w:spacing w:after="0" w:line="240" w:lineRule="auto"/>
        <w:jc w:val="right"/>
        <w:rPr>
          <w:rFonts w:ascii="Times New Roman" w:hAnsi="Times New Roman"/>
          <w:sz w:val="24"/>
          <w:szCs w:val="24"/>
        </w:rPr>
        <w:sectPr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741" w:space="709"/>
            <w:col w:w="2905" w:space="0"/>
          </w:cols>
          <w:docGrid w:linePitch="360"/>
        </w:sectPr>
      </w:pPr>
      <w:r>
        <w:rPr>
          <w:rFonts w:ascii="Times New Roman" w:hAnsi="Times New Roman"/>
          <w:sz w:val="24"/>
          <w:szCs w:val="24"/>
        </w:rPr>
        <w:t xml:space="preserve">3 июня 2026 г.</w:t>
      </w: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Финансовый управляющий </w:t>
      </w:r>
      <w:r>
        <w:rPr>
          <w:rFonts w:ascii="Times New Roman" w:hAnsi="Times New Roman"/>
          <w:sz w:val="24"/>
          <w:szCs w:val="24"/>
        </w:rPr>
        <w:t xml:space="preserve">Беляева Алексея Иосифовича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(дата рождения: </w:t>
      </w:r>
      <w:r>
        <w:rPr>
          <w:rFonts w:ascii="Times New Roman" w:hAnsi="Times New Roman"/>
          <w:sz w:val="24"/>
          <w:szCs w:val="24"/>
        </w:rPr>
        <w:t xml:space="preserve">07.12.1975</w:t>
      </w:r>
      <w:r>
        <w:rPr>
          <w:rFonts w:ascii="Times New Roman" w:hAnsi="Times New Roman"/>
          <w:sz w:val="24"/>
          <w:szCs w:val="24"/>
        </w:rPr>
        <w:t xml:space="preserve">, место рождения: </w:t>
      </w:r>
      <w:r>
        <w:rPr>
          <w:rFonts w:ascii="Times New Roman" w:hAnsi="Times New Roman"/>
          <w:sz w:val="24"/>
          <w:szCs w:val="24"/>
        </w:rPr>
        <w:t xml:space="preserve">г. Нижневартовск Тюменская область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СНИЛС</w:t>
      </w:r>
      <w:r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 xml:space="preserve">048-750-567 88</w:t>
      </w:r>
      <w:r>
        <w:rPr>
          <w:rFonts w:ascii="Times New Roman" w:hAnsi="Times New Roman"/>
          <w:sz w:val="24"/>
          <w:szCs w:val="24"/>
        </w:rPr>
        <w:t xml:space="preserve">, ИНН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861002920132</w:t>
      </w:r>
      <w:r>
        <w:rPr>
          <w:rFonts w:ascii="Times New Roman" w:hAnsi="Times New Roman"/>
          <w:sz w:val="24"/>
          <w:szCs w:val="24"/>
        </w:rPr>
        <w:t xml:space="preserve">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регистрация по месту жительства: 150522, Ярославская</w:t>
      </w:r>
      <w:r>
        <w:rPr>
          <w:rFonts w:ascii="Times New Roman" w:hAnsi="Times New Roman"/>
          <w:sz w:val="24"/>
          <w:szCs w:val="24"/>
        </w:rPr>
        <w:t xml:space="preserve"> область, поселок Красные Ткачи, ул Советская, д 14</w:t>
      </w:r>
      <w:r>
        <w:rPr>
          <w:rFonts w:ascii="Times New Roman" w:hAnsi="Times New Roman"/>
          <w:sz w:val="24"/>
          <w:szCs w:val="24"/>
        </w:rPr>
        <w:t xml:space="preserve">)  </w:t>
      </w:r>
      <w:r>
        <w:rPr>
          <w:rFonts w:ascii="Times New Roman" w:hAnsi="Times New Roman"/>
          <w:sz w:val="24"/>
          <w:szCs w:val="24"/>
        </w:rPr>
        <w:t xml:space="preserve">Косточкина Мария Васильевна</w:t>
      </w:r>
      <w:r>
        <w:rPr>
          <w:rFonts w:ascii="Times New Roman" w:hAnsi="Times New Roman"/>
          <w:sz w:val="24"/>
          <w:szCs w:val="24"/>
        </w:rPr>
        <w:t xml:space="preserve">,</w:t>
      </w:r>
      <w:r>
        <w:rPr>
          <w:rFonts w:ascii="Times New Roman" w:hAnsi="Times New Roman"/>
          <w:sz w:val="24"/>
          <w:szCs w:val="24"/>
        </w:rPr>
        <w:t xml:space="preserve"> именуемый в дальнейшем «Организатор торгов», </w:t>
      </w:r>
      <w:r>
        <w:rPr>
          <w:rFonts w:ascii="Times New Roman" w:hAnsi="Times New Roman"/>
          <w:sz w:val="24"/>
          <w:szCs w:val="24"/>
        </w:rPr>
        <w:t xml:space="preserve">действующий на основании решения Арбитражного суда Ярославской области от 12.08.2025 г. по делу № А82-</w:t>
      </w:r>
      <w:r>
        <w:rPr>
          <w:rFonts w:ascii="Times New Roman" w:hAnsi="Times New Roman"/>
          <w:sz w:val="24"/>
          <w:szCs w:val="24"/>
        </w:rPr>
        <w:t xml:space="preserve">9572/2025 Кузьмичев А.В</w:t>
      </w:r>
      <w:r>
        <w:rPr>
          <w:rFonts w:ascii="Times New Roman" w:hAnsi="Times New Roman"/>
          <w:sz w:val="24"/>
          <w:szCs w:val="24"/>
        </w:rPr>
        <w:t xml:space="preserve">, с одной стороны, и ____________________________________________________, именуемое (-ый, -ая) в дальнейшем «Заявитель», с другой стороны, заключили настоящий договор о нижеследующем:</w:t>
      </w:r>
    </w:p>
    <w:p>
      <w:pPr>
        <w:pStyle w:val="Normal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179"/>
        <w:numPr>
          <w:numId w:val="1"/>
          <w:ilvl w:val="0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Предмет договора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В соответствии с условиями настоящего Договора Заявитель дл</w:t>
      </w:r>
      <w:r>
        <w:rPr>
          <w:rFonts w:ascii="Times New Roman" w:hAnsi="Times New Roman"/>
          <w:sz w:val="24"/>
          <w:szCs w:val="24"/>
        </w:rPr>
        <w:t xml:space="preserve">я участия в торгах по продаже имущества </w:t>
      </w:r>
      <w:r>
        <w:rPr>
          <w:rFonts w:ascii="Times New Roman" w:hAnsi="Times New Roman"/>
          <w:sz w:val="24"/>
          <w:szCs w:val="24"/>
        </w:rPr>
        <w:t xml:space="preserve">Беляева Алексея Иосифовича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 лоту № __: ________________________ (далее по тексту – Предмет торгов), проводимых «__» ______ ___ г. </w:t>
      </w:r>
      <w:r>
        <w:rPr>
          <w:rFonts w:ascii="Times New Roman" w:hAnsi="Times New Roman"/>
          <w:sz w:val="24"/>
          <w:szCs w:val="24"/>
        </w:rPr>
        <w:t xml:space="preserve">на электронной торговой площадке __________, размещенн</w:t>
      </w:r>
      <w:r>
        <w:rPr>
          <w:rFonts w:ascii="Times New Roman" w:hAnsi="Times New Roman"/>
          <w:sz w:val="24"/>
          <w:szCs w:val="24"/>
        </w:rPr>
        <w:t xml:space="preserve">ой на сайте __________ в сети Интернет</w:t>
      </w:r>
      <w:r>
        <w:rPr>
          <w:rFonts w:ascii="Times New Roman" w:hAnsi="Times New Roman"/>
          <w:sz w:val="24"/>
          <w:szCs w:val="24"/>
        </w:rPr>
        <w:t xml:space="preserve">, перечисляет задаток в сумме _______ руб. в порядке, установленном настоящим Договором.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</w:t>
      </w:r>
      <w:r>
        <w:rPr>
          <w:rFonts w:ascii="Times New Roman" w:hAnsi="Times New Roman"/>
          <w:sz w:val="24"/>
          <w:szCs w:val="24"/>
        </w:rPr>
        <w:t xml:space="preserve"> в случае признания Заявителя победителем торгов</w:t>
      </w:r>
      <w:r>
        <w:rPr>
          <w:rFonts w:ascii="Times New Roman" w:hAnsi="Times New Roman"/>
          <w:sz w:val="24"/>
          <w:szCs w:val="24"/>
        </w:rPr>
        <w:t xml:space="preserve">; по оплате указанного имущества, в случае признания Заявителя победителем торгов, а также исполнения иных обязательств Заявителя по договору купли-продажи, заключенного по </w:t>
      </w:r>
      <w:r>
        <w:rPr>
          <w:rFonts w:ascii="Times New Roman" w:hAnsi="Times New Roman"/>
          <w:sz w:val="24"/>
          <w:szCs w:val="24"/>
        </w:rPr>
        <w:t xml:space="preserve">результатам торгов. </w:t>
      </w:r>
      <w:r>
        <w:rPr>
          <w:rFonts w:ascii="Times New Roman" w:hAnsi="Times New Roman"/>
          <w:sz w:val="24"/>
          <w:szCs w:val="24"/>
        </w:rPr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Задаток также не возвращается в случае отказа (уклонения) Заявителя, признанного победителем торгов, от заключения договора купли-продажи</w:t>
      </w:r>
      <w:r>
        <w:rPr>
          <w:rFonts w:ascii="Times New Roman" w:hAnsi="Times New Roman"/>
          <w:sz w:val="24"/>
          <w:szCs w:val="24"/>
        </w:rPr>
        <w:t xml:space="preserve"> имущества, являющегося Предметом торгов</w:t>
      </w:r>
      <w:r>
        <w:rPr>
          <w:rFonts w:ascii="Times New Roman" w:hAnsi="Times New Roman"/>
          <w:sz w:val="24"/>
          <w:szCs w:val="24"/>
        </w:rPr>
        <w:t xml:space="preserve">; в сл</w:t>
      </w:r>
      <w:r>
        <w:rPr>
          <w:rFonts w:ascii="Times New Roman" w:hAnsi="Times New Roman"/>
          <w:sz w:val="24"/>
          <w:szCs w:val="24"/>
        </w:rPr>
        <w:t xml:space="preserve">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  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Во всех остальных случаях задаток возвращается Заявителю в течение 5 (пяти) рабочих дней со дня подписания протокола о результатах проведения торгов.</w:t>
      </w:r>
    </w:p>
    <w:p>
      <w:pPr>
        <w:pStyle w:val="179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179"/>
        <w:numPr>
          <w:numId w:val="1"/>
          <w:ilvl w:val="0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Порядок внесения задатка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Задаток должен быть внесен Заявителем на расчетный счет Организатора торгов, указанный в разделе 4 настоящег</w:t>
      </w:r>
      <w:r>
        <w:rPr>
          <w:rFonts w:ascii="Times New Roman" w:hAnsi="Times New Roman"/>
          <w:sz w:val="24"/>
          <w:szCs w:val="24"/>
        </w:rPr>
        <w:t xml:space="preserve">о договора, в срок не позднее __.__._____ г. В назначении платежа необходимо указать: «Задаток для участия в торгах по продаже имущества </w:t>
      </w:r>
      <w:r>
        <w:rPr>
          <w:rFonts w:ascii="Times New Roman" w:hAnsi="Times New Roman"/>
          <w:sz w:val="24"/>
          <w:szCs w:val="24"/>
        </w:rPr>
        <w:t xml:space="preserve">Беляева Алексея Иосифовича</w:t>
      </w:r>
      <w:r>
        <w:rPr>
          <w:rFonts w:ascii="Times New Roman" w:hAnsi="Times New Roman"/>
          <w:i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проводимых </w:t>
      </w:r>
      <w:r>
        <w:rPr>
          <w:rFonts w:ascii="Times New Roman" w:hAnsi="Times New Roman"/>
          <w:sz w:val="24"/>
          <w:szCs w:val="24"/>
        </w:rPr>
        <w:t xml:space="preserve">«__» ______ ___ г. на </w:t>
      </w:r>
      <w:r>
        <w:rPr>
          <w:rFonts w:ascii="Times New Roman" w:hAnsi="Times New Roman"/>
          <w:sz w:val="24"/>
          <w:szCs w:val="24"/>
        </w:rPr>
        <w:t xml:space="preserve">ЭТП </w:t>
      </w:r>
      <w:r>
        <w:rPr>
          <w:rFonts w:ascii="Times New Roman" w:hAnsi="Times New Roman"/>
          <w:sz w:val="24"/>
          <w:szCs w:val="24"/>
        </w:rPr>
        <w:t xml:space="preserve"> __________</w:t>
      </w:r>
      <w:r>
        <w:rPr>
          <w:rFonts w:ascii="Times New Roman" w:hAnsi="Times New Roman"/>
          <w:sz w:val="24"/>
          <w:szCs w:val="24"/>
        </w:rPr>
        <w:t xml:space="preserve">, лот № __».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Обязанность Заявителя по перечислению задатка считается исполненной в момент зачисления денежных средств на расчетный счет Организатора торгов в полной сумме, указанной в п. 2.1. настоящего договора.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случае не перечисления либо перечисления не в полном объеме суммы задатка в указанну</w:t>
      </w:r>
      <w:r>
        <w:rPr>
          <w:rFonts w:ascii="Times New Roman" w:hAnsi="Times New Roman"/>
          <w:sz w:val="24"/>
          <w:szCs w:val="24"/>
        </w:rPr>
        <w:t xml:space="preserve">ю в п. 2.1. настоящего договора дату, Организатор торгов не допускает Заявителя к участию в торгах, а все перечисленные денежные средства Заявителем во исполнение настоящего договора возвращаются ему в общем порядке, установленном в п.</w:t>
      </w:r>
      <w:r>
        <w:rPr>
          <w:rFonts w:ascii="Times New Roman" w:hAnsi="Times New Roman"/>
          <w:sz w:val="24"/>
          <w:szCs w:val="24"/>
        </w:rPr>
        <w:t xml:space="preserve"> 1</w:t>
      </w:r>
      <w:r>
        <w:rPr>
          <w:rFonts w:ascii="Times New Roman" w:hAnsi="Times New Roman"/>
          <w:sz w:val="24"/>
          <w:szCs w:val="24"/>
        </w:rPr>
        <w:t xml:space="preserve">.5. настоящего договора.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 денежные средства, перечисленные в соответствии с настоящим договором, проценты не начисляются.</w:t>
      </w:r>
    </w:p>
    <w:p>
      <w:pPr>
        <w:pStyle w:val="179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179"/>
        <w:numPr>
          <w:numId w:val="1"/>
          <w:ilvl w:val="0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Заключительные положения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Споры и разногласия, возникающие из настоящего договора или в связи с ним, будут решаться сторонами путем переговоров. </w:t>
      </w:r>
      <w:r>
        <w:rPr>
          <w:rFonts w:ascii="Times New Roman" w:hAnsi="Times New Roman"/>
          <w:color w:val="000000"/>
          <w:sz w:val="24"/>
          <w:szCs w:val="24"/>
        </w:rPr>
        <w:t xml:space="preserve">При н</w:t>
      </w:r>
      <w:r>
        <w:rPr>
          <w:rFonts w:ascii="Times New Roman" w:hAnsi="Times New Roman"/>
          <w:color w:val="000000"/>
          <w:sz w:val="24"/>
          <w:szCs w:val="24"/>
        </w:rPr>
        <w:t xml:space="preserve">е достижении согласия споры и разногласия подлежат рассмотрению </w:t>
      </w:r>
      <w:r>
        <w:rPr>
          <w:rFonts w:ascii="Times New Roman" w:hAnsi="Times New Roman"/>
          <w:color w:val="000000"/>
          <w:sz w:val="24"/>
          <w:szCs w:val="24"/>
        </w:rPr>
        <w:t xml:space="preserve">Арбитражным судом Ярославской области</w:t>
      </w:r>
      <w:r>
        <w:rPr>
          <w:rFonts w:ascii="Times New Roman" w:hAnsi="Times New Roman"/>
          <w:color w:val="000000"/>
          <w:sz w:val="24"/>
          <w:szCs w:val="24"/>
        </w:rPr>
        <w:t xml:space="preserve">.</w:t>
      </w:r>
      <w:r>
        <w:rPr>
          <w:rFonts w:ascii="Times New Roman" w:hAnsi="Times New Roman"/>
          <w:sz w:val="24"/>
          <w:szCs w:val="24"/>
        </w:rPr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>
      <w:pPr>
        <w:pStyle w:val="Normal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179"/>
        <w:numPr>
          <w:numId w:val="1"/>
          <w:ilvl w:val="0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Реквизиты сторон</w:t>
      </w:r>
    </w:p>
    <w:tbl>
      <w:tblPr>
        <w:tblW w:w="0" w:type="auto"/>
        <w:tblInd w:w="40" w:type="dxa"/>
        <w:tblLayout w:type="fixed"/>
        <w:tblCellMar>
          <w:left w:w="40" w:type="dxa"/>
          <w:top w:w="0" w:type="dxa"/>
          <w:right w:w="40" w:type="dxa"/>
          <w:bottom w:w="0" w:type="dxa"/>
        </w:tblCellMar>
      </w:tblPr>
      <w:tblGrid>
        <w:gridCol w:w="4781"/>
        <w:gridCol w:w="4802"/>
      </w:tblGrid>
      <w:tr>
        <w:tc>
          <w:tcPr>
            <w:tcW w:w="47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 xml:space="preserve">Организатор торгов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W w:w="48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 xml:space="preserve">Заявитель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</w:tr>
      <w:tr>
        <w:tc>
          <w:tcPr>
            <w:tcW w:w="47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Финансовый управляющий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Беляева Алексея Иосифовича</w:t>
            </w:r>
            <w:r>
              <w:rPr>
                <w:rFonts w:ascii="Times New Roman" w:hAnsi="Times New Roman" w:eastAsia="Times New Roman"/>
                <w:i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р/с 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________________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в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________________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, </w:t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к\с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________________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, </w:t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БИК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________________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48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c>
          <w:tcPr>
            <w:tcW w:w="47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______________________ 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М.В. Косточкина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48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____________________ _______________</w:t>
            </w:r>
            <w:r>
              <w:rPr>
                <w:rFonts w:ascii="Times New Roman" w:hAnsi="Times New Roman" w:eastAsia="Times New Roman"/>
                <w:color w:val="000000"/>
                <w:spacing w:val="-2"/>
                <w:sz w:val="24"/>
                <w:szCs w:val="24"/>
                <w:lang w:eastAsia="ru-RU"/>
              </w:rPr>
            </w:r>
          </w:p>
        </w:tc>
      </w:tr>
    </w:tbl>
    <w:p>
      <w:pPr>
        <w:pStyle w:val="Normal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sectPr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suff w:val="tab"/>
      <w:lvlText w:val="%1."/>
      <w:lvlJc w:val="left"/>
      <w:pPr>
        <w:pStyle w:val="Normal"/>
        <w:ind w:left="720" w:hanging="360"/>
      </w:pPr>
    </w:lvl>
    <w:lvl w:ilvl="1">
      <w:start w:val="1"/>
      <w:numFmt w:val="decimal"/>
      <w:suff w:val="tab"/>
      <w:lvlText w:val="%1.%2."/>
      <w:lvlJc w:val="left"/>
      <w:pPr>
        <w:pStyle w:val="Normal"/>
        <w:ind w:left="1080" w:hanging="360"/>
      </w:pPr>
    </w:lvl>
    <w:lvl w:ilvl="2">
      <w:start w:val="1"/>
      <w:numFmt w:val="decimal"/>
      <w:suff w:val="tab"/>
      <w:lvlText w:val="%1.%2.%3."/>
      <w:lvlJc w:val="left"/>
      <w:pPr>
        <w:pStyle w:val="Normal"/>
        <w:ind w:left="1800" w:hanging="720"/>
      </w:pPr>
    </w:lvl>
    <w:lvl w:ilvl="3">
      <w:start w:val="1"/>
      <w:numFmt w:val="decimal"/>
      <w:suff w:val="tab"/>
      <w:lvlText w:val="%1.%2.%3.%4."/>
      <w:lvlJc w:val="left"/>
      <w:pPr>
        <w:pStyle w:val="Normal"/>
        <w:ind w:left="2160" w:hanging="720"/>
      </w:pPr>
    </w:lvl>
    <w:lvl w:ilvl="4">
      <w:start w:val="1"/>
      <w:numFmt w:val="decimal"/>
      <w:suff w:val="tab"/>
      <w:lvlText w:val="%1.%2.%3.%4.%5."/>
      <w:lvlJc w:val="left"/>
      <w:pPr>
        <w:pStyle w:val="Normal"/>
        <w:ind w:left="2880" w:hanging="1080"/>
      </w:pPr>
    </w:lvl>
    <w:lvl w:ilvl="5">
      <w:start w:val="1"/>
      <w:numFmt w:val="decimal"/>
      <w:suff w:val="tab"/>
      <w:lvlText w:val="%1.%2.%3.%4.%5.%6."/>
      <w:lvlJc w:val="left"/>
      <w:pPr>
        <w:pStyle w:val="Normal"/>
        <w:ind w:left="3240" w:hanging="1080"/>
      </w:pPr>
    </w:lvl>
    <w:lvl w:ilvl="6">
      <w:start w:val="1"/>
      <w:numFmt w:val="decimal"/>
      <w:suff w:val="tab"/>
      <w:lvlText w:val="%1.%2.%3.%4.%5.%6.%7."/>
      <w:lvlJc w:val="left"/>
      <w:pPr>
        <w:pStyle w:val="Normal"/>
        <w:ind w:left="3960" w:hanging="1440"/>
      </w:pPr>
    </w:lvl>
    <w:lvl w:ilvl="7">
      <w:start w:val="1"/>
      <w:numFmt w:val="decimal"/>
      <w:suff w:val="tab"/>
      <w:lvlText w:val="%1.%2.%3.%4.%5.%6.%7.%8."/>
      <w:lvlJc w:val="left"/>
      <w:pPr>
        <w:pStyle w:val="Normal"/>
        <w:ind w:left="4320" w:hanging="1440"/>
      </w:pPr>
    </w:lvl>
    <w:lvl w:ilvl="8">
      <w:start w:val="1"/>
      <w:numFmt w:val="decimal"/>
      <w:suff w:val="tab"/>
      <w:lvlText w:val="%1.%2.%3.%4.%5.%6.%7.%8.%9."/>
      <w:lvlJc w:val="left"/>
      <w:pPr>
        <w:pStyle w:val="Normal"/>
        <w:ind w:left="5040" w:hanging="18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/>
  <w:compat>
    <w:spaceForUL w:val="true"/>
    <w:useNormalStyleForList w:val="true"/>
    <w:doNotUseIndentAsNumberingTabStop w:val="true"/>
    <w:useAltKinsokuLineBreakRules w:val="true"/>
    <w:allowSpaceOfSameStyleInTable w:val="true"/>
    <w:doNotSuppressIndentation w:val="true"/>
    <w:doNotAutofitConstrainedTables w:val="true"/>
    <w:autofitToFirstFixedWidthCell w:val="true"/>
    <w:displayHangulFixedWidth w:val="true"/>
    <w:splitPgBreakAndParaMark w:val="true"/>
    <w:doNotVertAlignCellWithSp w:val="true"/>
    <w:doNotBreakConstrainedForcedTable w:val="true"/>
    <w:doNotVertAlignInTxbx w:val="true"/>
    <w:useAnsiKerningPairs w:val="true"/>
    <w:cachedColBalance w:val="true"/>
    <w:compatSetting w:name="compatibilityMode" w:uri="http://schemas.microsoft.com/office/word" w:val="11"/>
  </w:compat>
  <w:themeFontLang w:val="en-US" w:eastAsia="zh-CN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eastAsia="Calibri" w:cs="Times New Roman"/>
        <w:lang w:val="ru-RU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Normal">
    <w:name w:val="Normal"/>
    <w:aliases w:val="Обычный"/>
    <w:next w:val="Normal"/>
    <w:link w:val="Normal"/>
    <w:qFormat/>
    <w:pPr>
      <w:spacing w:after="200" w:line="276" w:lineRule="auto"/>
    </w:pPr>
    <w:rPr>
      <w:sz w:val="22"/>
      <w:szCs w:val="22"/>
      <w:lang w:val="ru-RU" w:eastAsia="en-US" w:bidi="ar-SA"/>
    </w:rPr>
  </w:style>
  <w:style w:type="character" w:styleId="NormalCharacter">
    <w:name w:val="Основной шрифт абзаца"/>
    <w:next w:val="NormalCharacter"/>
    <w:link w:val="Normal"/>
    <w:uiPriority w:val="1"/>
    <w:semiHidden/>
    <w:unhideWhenUsed/>
  </w:style>
  <w:style w:type="table" w:styleId="TableNormal">
    <w:name w:val="Обычная таблица"/>
    <w:next w:val="TableNormal"/>
    <w:link w:val="Normal"/>
    <w:uiPriority w:val="99"/>
    <w:semiHidden/>
    <w:unhideWhenUsed/>
  </w:style>
  <w:style w:type="numbering" w:styleId="NormalList">
    <w:name w:val="Нет списка"/>
    <w:next w:val="NormalList"/>
    <w:link w:val="Normal"/>
    <w:uiPriority w:val="99"/>
    <w:semiHidden/>
    <w:unhideWhenUsed/>
  </w:style>
  <w:style w:type="paragraph" w:styleId="179">
    <w:name w:val="Абзац списка"/>
    <w:basedOn w:val="Normal"/>
    <w:next w:val="179"/>
    <w:link w:val="Normal"/>
    <w:uiPriority w:val="34"/>
    <w:qFormat/>
    <w:pPr>
      <w:ind w:left="720"/>
      <w:contextualSpacing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пј­пјі г‚ґг‚·гѓѓг‚Ї"/>
        <a:font script="Hang" typeface="л§‘мќЂ кі л”•"/>
        <a:font script="Hans" typeface="е®‹дЅ“"/>
        <a:font script="Hant" typeface="ж–°зґ°жЋй«”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пј­пјі жЋжњќ"/>
        <a:font script="Hang" typeface="л§‘мќЂ кі л”•"/>
        <a:font script="Hans" typeface="е®‹дЅ“"/>
        <a:font script="Hant" typeface="ж–°зґ°жЋй«”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haracters>3343</Characters>
  <CharactersWithSpaces>3922</CharactersWithSpaces>
  <DocSecurity>0</DocSecurity>
  <HyperlinksChanged>false</HyperlinksChanged>
  <Lines>27</Lines>
  <Pages>2</Pages>
  <Paragraphs>7</Paragraphs>
  <ScaleCrop>false</ScaleCrop>
  <SharedDoc>false</SharedDoc>
  <Template>Normal</Template>
  <Words>586</Word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VU8K</dc:creator>
  <cp:lastModifiedBy>alesh</cp:lastModifiedBy>
  <cp:revision>2</cp:revision>
  <dcterms:created xsi:type="dcterms:W3CDTF">2026-06-03T08:10:00Z</dcterms:created>
  <dcterms:modified xsi:type="dcterms:W3CDTF">2026-06-03T08:10:00Z</dcterms:modified>
  <cp:version>1048576</cp:version>
</cp:coreProperties>
</file>