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АС Саратовской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Полеводова Ивана Ивановича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Полеводова Ивана Ивановича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12.10.1985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Львовка Турковс</w:t>
      </w:r>
      <w:r>
        <w:rPr>
          <w:sz w:val="24"/>
          <w:szCs w:val="24"/>
        </w:rPr>
        <w:t xml:space="preserve">кого района Саратовской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134-642-617 51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643569203982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412074, Саратовская область, с Львовка, Россия, Турковский р-н, с Львовка, Саратовская обл, Северная, 25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</w:t>
            </w:r>
            <w:r>
              <w:t xml:space="preserve">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21214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Т197ЕУ64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ХТА21214051788503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ХТА21214051788503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Фиолетовый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1610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210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/>
                  <w:r>
                    <w:rPr>
                      <w:sz w:val="20"/>
                      <w:szCs w:val="20"/>
                    </w:rPr>
                    <w:t xml:space="preserve">258 000</w:t>
                  </w:r>
                  <w:r/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, с момента публикации сообщения о продаже имущества и до окончания приема заявок по предварительной записи по телефону: </w:t>
            </w:r>
            <w:r/>
            <w:r/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Полеводова Ивана Ивановича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</w:t>
            </w:r>
            <w:r>
              <w:t xml:space="preserve">ействующий на основании решения АС Саратовской области от 18.07.2024 г. по делу № А57-14644/2024 Макарихина О. А.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</w:t>
            </w:r>
            <w:r>
              <w:t xml:space="preserve">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</w:t>
            </w:r>
            <w:r/>
            <w:r>
              <w:t xml:space="preserve">10%</w:t>
            </w:r>
            <w:r/>
            <w:r/>
          </w:p>
          <w:p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Валюта получаемого перевода: Российский рубль (RUB)</w:t>
              <w:br/>
              <w:t xml:space="preserve">Получатель:Полеводов Иван Иванович</w:t>
              <w:br/>
              <w:t xml:space="preserve">Номер счёта: 40817810004001859513</w:t>
              <w:br/>
              <w:t xml:space="preserve">Банк получателя: АРХАНГЕЛЬСКОЕ ОТДЕЛЕНИЕ N 8637 ПАО СБЕРБАНК</w:t>
              <w:br/>
              <w:t xml:space="preserve">БИК: 041117601</w:t>
              <w:br/>
              <w:t xml:space="preserve">Корр. счёт: 30101810100000000601</w:t>
              <w:br/>
              <w:t xml:space="preserve">ИНН: 7707083893</w:t>
              <w:br/>
              <w:t xml:space="preserve">КПП: 29010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2001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Лот № 1:</w:t>
            </w:r>
            <w:r>
              <w:t xml:space="preserve">10%</w:t>
            </w:r>
            <w:r/>
            <w:r/>
          </w:p>
          <w:p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8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  <w:r/>
          </w:p>
          <w:p>
            <w:pPr>
              <w:pStyle w:val="618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3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  <w:r/>
          </w:p>
          <w:p>
            <w:pPr>
              <w:pStyle w:val="618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8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Валюта получаемого перевода: Российский рубль (RUB)</w:t>
              <w:br/>
              <w:t xml:space="preserve">Получатель:Полеводов Иван Иванович</w:t>
              <w:br/>
              <w:t xml:space="preserve">Номер счёта: 40817810004001859513</w:t>
              <w:br/>
              <w:t xml:space="preserve">Банк получателя: АРХАНГЕЛЬСКОЕ ОТДЕЛЕНИЕ N 8637 ПАО СБЕРБАНК</w:t>
              <w:br/>
              <w:t xml:space="preserve">БИК: 041117601</w:t>
              <w:br/>
              <w:t xml:space="preserve">Корр. счёт: 30101810100000000601</w:t>
              <w:br/>
              <w:t xml:space="preserve">ИНН: 7707083893</w:t>
              <w:br/>
              <w:t xml:space="preserve">КПП: 29010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Полеводова Ивана Ивановича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1" w:default="1">
    <w:name w:val="Default Paragraph Font"/>
    <w:uiPriority w:val="1"/>
    <w:semiHidden/>
    <w:unhideWhenUsed/>
  </w:style>
  <w:style w:type="numbering" w:styleId="1992" w:default="1">
    <w:name w:val="No List"/>
    <w:uiPriority w:val="99"/>
    <w:semiHidden/>
    <w:unhideWhenUsed/>
  </w:style>
  <w:style w:type="table" w:styleId="1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2026-03-31T14:36:00Z</dcterms:created>
  <dcterms:modified xsi:type="dcterms:W3CDTF">2026-03-31T16:17:10Z</dcterms:modified>
  <cp:version>1048576</cp:version>
</cp:coreProperties>
</file>