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W w:w="5000" w:type="pct"/>
        <w:tblCellSpacing w:w="0" w:type="dxa"/>
        <w:tblCellMar>
          <w:left w:w="75" w:type="dxa"/>
          <w:top w:w="75" w:type="dxa"/>
          <w:right w:w="75" w:type="dxa"/>
          <w:bottom w:w="75" w:type="dxa"/>
        </w:tblCellMar>
        <w:tblLook w:val="04A0" w:firstRow="1" w:lastRow="0" w:firstColumn="1" w:lastColumn="0" w:noHBand="0" w:noVBand="1"/>
      </w:tblPr>
      <w:tblGrid>
        <w:gridCol w:w="9922"/>
      </w:tblGrid>
      <w:tr>
        <w:tblPrEx/>
        <w:trPr>
          <w:tblCellSpacing w:w="0" w:type="dxa"/>
        </w:trPr>
        <w:tc>
          <w:tcPr>
            <w:tcW w:w="0" w:type="auto"/>
            <w:vAlign w:val="center"/>
            <w:textDirection w:val="lrTb"/>
            <w:noWrap w:val="false"/>
          </w:tcPr>
          <w:p>
            <w:pPr>
              <w:pStyle w:val="69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blCellSpacing w:w="0" w:type="dxa"/>
        </w:trPr>
        <w:tc>
          <w:tcPr>
            <w:tcW w:w="4950" w:type="pct"/>
            <w:textDirection w:val="lrTb"/>
            <w:noWrap w:val="false"/>
          </w:tcPr>
          <w:p>
            <w:pPr>
              <w:pStyle w:val="68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Финансовый управляющи</w:t>
            </w:r>
            <w:r>
              <w:rPr>
                <w:sz w:val="16"/>
                <w:szCs w:val="16"/>
              </w:rPr>
              <w:t xml:space="preserve">й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Гафуржонова Амиржона Муминжоновича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Косточкина Мария Васильевн</w:t>
            </w:r>
            <w:r>
              <w:rPr>
                <w:sz w:val="16"/>
                <w:szCs w:val="16"/>
              </w:rPr>
              <w:t xml:space="preserve">а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  <w:p>
            <w:pPr>
              <w:pStyle w:val="68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0" cy="9525"/>
                      <wp:effectExtent l="0" t="0" r="0" b="0"/>
                      <wp:docPr id="1" name="_x0000_s10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0" name=""/>
                            <wps:cNvSpPr/>
                            <wps:spPr bwMode="auto">
                              <a:xfrm>
                                <a:off x="0" y="0"/>
                                <a:ext cx="0" cy="9524"/>
                              </a:xfrm>
                              <a:prstGeom prst="rect">
                                <a:avLst/>
                              </a:prstGeom>
                              <a:solidFill>
                                <a:srgbClr val="A0A0A0"/>
                              </a:solidFill>
                              <a:ln>
                                <a:noFill/>
                              </a:ln>
                            </wps:spPr>
                            <wps:bodyPr rot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shape 0" o:spid="_x0000_s0" o:spt="1" type="#_x0000_t1" style="width:0.00pt;height:0.75pt;mso-wrap-distance-left:0.00pt;mso-wrap-distance-top:0.00pt;mso-wrap-distance-right:0.00pt;mso-wrap-distance-bottom:0.00pt;visibility:visible;" fillcolor="#A0A0A0" stroked="f"/>
                  </w:pict>
                </mc:Fallback>
              </mc:AlternateConten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  <w:p>
            <w:pPr>
              <w:pStyle w:val="684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 xml:space="preserve">163046, Архангельская область, Архангельск, Воскресенская, 59, 2 этаж,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тел.: </w:t>
            </w:r>
            <w:r>
              <w:t xml:space="preserve">89600</w:t>
            </w:r>
            <w:r>
              <w:t xml:space="preserve">091050</w:t>
            </w:r>
            <w:r>
              <w:rPr>
                <w:sz w:val="16"/>
                <w:szCs w:val="16"/>
              </w:rPr>
              <w:t xml:space="preserve">,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эл. почта: mkostochkina00@mail.r</w:t>
            </w:r>
            <w:r>
              <w:rPr>
                <w:sz w:val="16"/>
                <w:szCs w:val="16"/>
              </w:rPr>
              <w:t xml:space="preserve">u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blCellSpacing w:w="0" w:type="dxa"/>
        </w:trPr>
        <w:tc>
          <w:tcPr>
            <w:tcW w:w="0" w:type="auto"/>
            <w:vAlign w:val="center"/>
            <w:textDirection w:val="lrTb"/>
            <w:noWrap w:val="false"/>
          </w:tcPr>
          <w:p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 </w:t>
            </w:r>
            <w:r>
              <w:rPr>
                <w:sz w:val="20"/>
                <w:szCs w:val="20"/>
                <w:lang w:val="en-US"/>
              </w:rPr>
            </w:r>
          </w:p>
        </w:tc>
      </w:tr>
    </w:tbl>
    <w:p>
      <w:pPr>
        <w:rPr>
          <w:vanish/>
          <w:sz w:val="20"/>
          <w:szCs w:val="20"/>
          <w:lang w:val="en-US"/>
        </w:rPr>
      </w:pPr>
      <w:r>
        <w:rPr>
          <w:vanish/>
          <w:sz w:val="20"/>
          <w:szCs w:val="20"/>
          <w:lang w:val="en-US"/>
        </w:rPr>
      </w:r>
      <w:r>
        <w:rPr>
          <w:vanish/>
          <w:sz w:val="20"/>
          <w:szCs w:val="20"/>
          <w:lang w:val="en-US"/>
        </w:rPr>
      </w:r>
    </w:p>
    <w:tbl>
      <w:tblPr>
        <w:tblW w:w="5000" w:type="pct"/>
        <w:tblCellSpacing w:w="0" w:type="dxa"/>
        <w:tblCellMar>
          <w:left w:w="45" w:type="dxa"/>
          <w:top w:w="45" w:type="dxa"/>
          <w:right w:w="45" w:type="dxa"/>
          <w:bottom w:w="45" w:type="dxa"/>
        </w:tblCellMar>
        <w:tblLook w:val="04A0" w:firstRow="1" w:lastRow="0" w:firstColumn="1" w:lastColumn="0" w:noHBand="0" w:noVBand="1"/>
      </w:tblPr>
      <w:tblGrid>
        <w:gridCol w:w="4961"/>
        <w:gridCol w:w="4961"/>
      </w:tblGrid>
      <w:tr>
        <w:tblPrEx/>
        <w:trPr>
          <w:tblCellSpacing w:w="0" w:type="dxa"/>
        </w:trPr>
        <w:tc>
          <w:tcPr>
            <w:tcW w:w="2500" w:type="pct"/>
            <w:vAlign w:val="center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Дата: </w:t>
            </w:r>
            <w:r>
              <w:rPr>
                <w:sz w:val="20"/>
                <w:szCs w:val="20"/>
              </w:rPr>
              <w:t xml:space="preserve">05.05.2026</w:t>
            </w:r>
            <w:r>
              <w:rPr>
                <w:sz w:val="20"/>
                <w:szCs w:val="20"/>
              </w:rPr>
              <w:t xml:space="preserve"> г.</w:t>
            </w:r>
            <w:r>
              <w:rPr>
                <w:sz w:val="20"/>
                <w:szCs w:val="20"/>
              </w:rPr>
            </w:r>
          </w:p>
        </w:tc>
        <w:tc>
          <w:tcPr>
            <w:tcW w:w="2500" w:type="pct"/>
            <w:vAlign w:val="center"/>
            <w:textDirection w:val="lrTb"/>
            <w:noWrap w:val="false"/>
          </w:tcPr>
          <w:p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Место составления: Старый Оскол</w:t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697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Решение об оценке имущества гражданина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</w:r>
    </w:p>
    <w:tbl>
      <w:tblPr>
        <w:tblW w:w="5000" w:type="pct"/>
        <w:tblCellSpacing w:w="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</w:tblBorders>
        <w:tblCellMar>
          <w:left w:w="45" w:type="dxa"/>
          <w:top w:w="45" w:type="dxa"/>
          <w:right w:w="45" w:type="dxa"/>
          <w:bottom w:w="45" w:type="dxa"/>
        </w:tblCellMar>
        <w:tblLook w:val="04A0" w:firstRow="1" w:lastRow="0" w:firstColumn="1" w:lastColumn="0" w:noHBand="0" w:noVBand="1"/>
      </w:tblPr>
      <w:tblGrid>
        <w:gridCol w:w="4953"/>
        <w:gridCol w:w="4953"/>
      </w:tblGrid>
      <w:tr>
        <w:tblPrEx/>
        <w:trPr>
          <w:tblCellSpacing w:w="0" w:type="dxa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Наименование арбитражного суда, в производстве которого находится дело о банкротстве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Арбитражный суд Алтайского края</w:t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blCellSpacing w:w="0" w:type="dxa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Номер дела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№А03-3563/2026</w:t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blCellSpacing w:w="0" w:type="dxa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Дата принятия судебного акта о введении процедуры банкротства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07.04.2026</w:t>
            </w:r>
            <w:r>
              <w:rPr>
                <w:sz w:val="20"/>
                <w:szCs w:val="20"/>
              </w:rPr>
              <w:t xml:space="preserve"> г.</w:t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blCellSpacing w:w="0" w:type="dxa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Дата назначения арбитражного управляющего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07.04.2026</w:t>
            </w:r>
            <w:r>
              <w:rPr>
                <w:sz w:val="20"/>
                <w:szCs w:val="20"/>
              </w:rPr>
              <w:t xml:space="preserve"> г.</w:t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697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Сведения об арбитражном управляющем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</w:r>
    </w:p>
    <w:tbl>
      <w:tblPr>
        <w:tblW w:w="5000" w:type="pct"/>
        <w:tblCellSpacing w:w="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</w:tblBorders>
        <w:tblCellMar>
          <w:left w:w="45" w:type="dxa"/>
          <w:top w:w="45" w:type="dxa"/>
          <w:right w:w="45" w:type="dxa"/>
          <w:bottom w:w="45" w:type="dxa"/>
        </w:tblCellMar>
        <w:tblLook w:val="04A0" w:firstRow="1" w:lastRow="0" w:firstColumn="1" w:lastColumn="0" w:noHBand="0" w:noVBand="1"/>
      </w:tblPr>
      <w:tblGrid>
        <w:gridCol w:w="4953"/>
        <w:gridCol w:w="4953"/>
      </w:tblGrid>
      <w:tr>
        <w:tblPrEx/>
        <w:trPr>
          <w:tblCellSpacing w:w="0" w:type="dxa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Наименование саморегулируемой организации арбитражных управляющих, членом которой является арбитражный управляющий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Союз "Саморегулируемая организация "Гильдия арбитражных управляющих"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blCellSpacing w:w="0" w:type="dxa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Номер и дата регистрации в едином государственном реестре саморегулируемых организаций арбитражных управляющих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001-5 от 19.12.2002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blCellSpacing w:w="0" w:type="dxa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Наименование страховой организации, с которой заключен договор о страховании ответственности арбитражного управляющего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Общество с ограниченной ответственностью «Страховой Дом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blCellSpacing w:w="0" w:type="dxa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Номер договора страхования, дата его заключения и срок действия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17420/700/25 от 24.06.2025, действителен с 24.06.2</w:t>
            </w:r>
            <w:r>
              <w:rPr>
                <w:sz w:val="20"/>
                <w:szCs w:val="20"/>
              </w:rPr>
              <w:t xml:space="preserve">025 г. по 23.06.2026 г.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blCellSpacing w:w="0" w:type="dxa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Адрес для направления корреспонденции арбитражному управляющему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163046, Архангельская область, Архангельск, Воскресенская, 59, 2 этаж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697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Сведения о должнике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</w:r>
    </w:p>
    <w:tbl>
      <w:tblPr>
        <w:tblW w:w="5000" w:type="pct"/>
        <w:tblCellSpacing w:w="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</w:tblBorders>
        <w:tblCellMar>
          <w:left w:w="45" w:type="dxa"/>
          <w:top w:w="45" w:type="dxa"/>
          <w:right w:w="45" w:type="dxa"/>
          <w:bottom w:w="45" w:type="dxa"/>
        </w:tblCellMar>
        <w:tblLook w:val="04A0" w:firstRow="1" w:lastRow="0" w:firstColumn="1" w:lastColumn="0" w:noHBand="0" w:noVBand="1"/>
      </w:tblPr>
      <w:tblGrid>
        <w:gridCol w:w="4953"/>
        <w:gridCol w:w="4953"/>
      </w:tblGrid>
      <w:tr>
        <w:tblPrEx/>
        <w:trPr>
          <w:tblCellSpacing w:w="0" w:type="dxa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Ф.И.О. 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Гафуржонов Амиржон Муминжонович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</w:r>
          </w:p>
        </w:tc>
      </w:tr>
      <w:tr>
        <w:tblPrEx/>
        <w:trPr>
          <w:tblCellSpacing w:w="0" w:type="dxa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Дата рождения 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06.11.1992</w:t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blCellSpacing w:w="0" w:type="dxa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Место рождения 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п.Шайдан Аштский район Ленинабадская обл., Республика Таджикистан</w:t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blCellSpacing w:w="0" w:type="dxa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ИНН 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226103906220</w:t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blCellSpacing w:w="0" w:type="dxa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СНИЛС 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177-502-754 86</w:t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blCellSpacing w:w="0" w:type="dxa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Место жительства 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Алтайский край, г. Барнаул, ул. Попова, д. 108, кв. 72</w:t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698"/>
        <w:rPr>
          <w:sz w:val="20"/>
          <w:szCs w:val="20"/>
        </w:rPr>
      </w:pPr>
      <w:r>
        <w:rPr>
          <w:sz w:val="20"/>
          <w:szCs w:val="20"/>
        </w:rPr>
        <w:t xml:space="preserve">В соответствии с п. 2 ст. 213.26 Федерального закона от 26.10.2002 № 127-ФЗ «О несостоятельности (банкротстве)» (далее – Закон о банкротстве) оценка имущества гражданина, которое включено в конкурсную массу в соответствии с настоящим Федер</w:t>
      </w:r>
      <w:r>
        <w:rPr>
          <w:sz w:val="20"/>
          <w:szCs w:val="20"/>
        </w:rPr>
        <w:t xml:space="preserve">альным законом, проводится финансовым управляющим самостоятельно, о чем финансовым управляющим принимается решение в письменной форме. Проведенная оценка может быть оспорена гражданином, кредиторами, уполномоченным органом в деле о банкротстве гражданина. </w:t>
      </w:r>
      <w:r>
        <w:rPr>
          <w:sz w:val="20"/>
          <w:szCs w:val="20"/>
        </w:rPr>
      </w:r>
    </w:p>
    <w:p>
      <w:pPr>
        <w:pStyle w:val="698"/>
        <w:rPr>
          <w:sz w:val="20"/>
          <w:szCs w:val="20"/>
        </w:rPr>
      </w:pPr>
      <w:r>
        <w:rPr>
          <w:sz w:val="20"/>
          <w:szCs w:val="20"/>
        </w:rPr>
        <w:t xml:space="preserve">Оценка рыночной стоимости имущества должника проводится в целях определения начальной цены продажи имущества в процедуре реализации имущества, для предоставления в деле о банкротстве гражданина в суд, гражданину, кредиторам, уполномоченным органам. </w:t>
      </w:r>
      <w:r>
        <w:rPr>
          <w:sz w:val="20"/>
          <w:szCs w:val="20"/>
        </w:rPr>
      </w:r>
    </w:p>
    <w:p>
      <w:pPr>
        <w:pStyle w:val="698"/>
        <w:rPr>
          <w:sz w:val="20"/>
          <w:szCs w:val="20"/>
        </w:rPr>
      </w:pPr>
      <w:r>
        <w:rPr>
          <w:sz w:val="20"/>
          <w:szCs w:val="20"/>
        </w:rPr>
        <w:t xml:space="preserve">В соответствии со ст. 14 Федерального закона от 29.07.1998 № 135-ФЗ «Об оценочной деятельности в Российской Федерации» оценщик имеет право приме</w:t>
      </w:r>
      <w:r>
        <w:rPr>
          <w:sz w:val="20"/>
          <w:szCs w:val="20"/>
        </w:rPr>
        <w:t xml:space="preserve">нять самостоятельно методы проведения оценки объекта оценки в соответствии со стандартами оценки. Основными подходами, используемыми при проведении оценки, являются сравнительный, доходный и затратный подходы. Финансовый управляющий считает целесообразным </w:t>
      </w:r>
      <w:r>
        <w:rPr>
          <w:sz w:val="20"/>
          <w:szCs w:val="20"/>
        </w:rPr>
        <w:t xml:space="preserve">отказаться от применения затратного и доходного подхода по причи</w:t>
      </w:r>
      <w:r>
        <w:rPr>
          <w:sz w:val="20"/>
          <w:szCs w:val="20"/>
        </w:rPr>
        <w:t xml:space="preserve">не отсутствия у финансового управляющего обоснованной и надежной информации о будущих доходах и расходах, связанных с оцениваемыми объектами, а также в связи с наличием достаточного количества объектов-аналогов на рынке для расчета сравнительным подходом. </w:t>
      </w:r>
      <w:r>
        <w:rPr>
          <w:sz w:val="20"/>
          <w:szCs w:val="20"/>
        </w:rPr>
      </w:r>
    </w:p>
    <w:p>
      <w:pPr>
        <w:pStyle w:val="698"/>
        <w:rPr>
          <w:sz w:val="20"/>
          <w:szCs w:val="20"/>
        </w:rPr>
      </w:pPr>
      <w:r>
        <w:rPr>
          <w:sz w:val="20"/>
          <w:szCs w:val="20"/>
        </w:rPr>
        <w:t xml:space="preserve">Сравнительный подход служит для оценки рыночной стоимости объекта исходя из методов оценки, основанных на получении стоимости объекта оценки путем сравнения оцениваемого объекта с объектами-аналогами которые были проданы или предложены в продажу. </w:t>
      </w:r>
      <w:r>
        <w:rPr>
          <w:sz w:val="20"/>
          <w:szCs w:val="20"/>
        </w:rPr>
      </w:r>
    </w:p>
    <w:p>
      <w:pPr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98"/>
        <w:rPr>
          <w:sz w:val="20"/>
          <w:szCs w:val="20"/>
        </w:rPr>
      </w:pPr>
      <w:r>
        <w:rPr>
          <w:sz w:val="20"/>
          <w:szCs w:val="20"/>
        </w:rPr>
        <w:t xml:space="preserve">На основании п. 2 ст. 213.26 Закона о банкротстве, финансовый управляющий принял решение о самостоятельном проведении оценки имущества, вкл</w:t>
      </w:r>
      <w:r>
        <w:rPr>
          <w:sz w:val="20"/>
          <w:szCs w:val="20"/>
        </w:rPr>
        <w:t xml:space="preserve">юченного в конкурсную массу должника, путем проведения сравнительного анализа рыночных цен на аналогичное по характеристикам имущество, с учетом технических характеристик и корректировки на текущее состояние имущества должника на момент проведения оценки. </w:t>
      </w:r>
      <w:r>
        <w:rPr>
          <w:sz w:val="20"/>
          <w:szCs w:val="20"/>
        </w:rPr>
      </w:r>
    </w:p>
    <w:p>
      <w:pPr>
        <w:pStyle w:val="698"/>
        <w:rPr>
          <w:sz w:val="20"/>
          <w:szCs w:val="20"/>
        </w:rPr>
      </w:pPr>
      <w:r>
        <w:rPr>
          <w:sz w:val="20"/>
          <w:szCs w:val="20"/>
        </w:rPr>
        <w:t xml:space="preserve">При проведении оце</w:t>
      </w:r>
      <w:r>
        <w:rPr>
          <w:sz w:val="20"/>
          <w:szCs w:val="20"/>
        </w:rPr>
        <w:t xml:space="preserve">нки путем сравнительного анализа рыночных цен финансовый управляющий использовал данные о стоимости объектов-аналогов из объявлений, размещенных в открытых источниках в сети Интернет на специальных ресурсах по размещению объявлений о продаже, в том числе: </w:t>
      </w:r>
      <w:r>
        <w:rPr>
          <w:sz w:val="20"/>
        </w:rPr>
        <w:t xml:space="preserve">avito.ru,</w:t>
      </w:r>
      <w:r>
        <w:rPr>
          <w:spacing w:val="-1"/>
          <w:sz w:val="20"/>
        </w:rPr>
        <w:t xml:space="preserve"> </w:t>
      </w:r>
      <w:r>
        <w:rPr>
          <w:sz w:val="20"/>
        </w:rPr>
        <w:t xml:space="preserve">cian.ru.</w:t>
      </w:r>
      <w:r>
        <w:rPr>
          <w:sz w:val="20"/>
          <w:szCs w:val="20"/>
        </w:rPr>
      </w:r>
    </w:p>
    <w:p>
      <w:pPr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98"/>
        <w:rPr>
          <w:sz w:val="20"/>
          <w:szCs w:val="20"/>
        </w:rPr>
      </w:pPr>
      <w:r>
        <w:rPr>
          <w:sz w:val="20"/>
          <w:szCs w:val="20"/>
        </w:rPr>
        <w:t xml:space="preserve">В резуль</w:t>
      </w:r>
      <w:r>
        <w:rPr>
          <w:sz w:val="20"/>
          <w:szCs w:val="20"/>
        </w:rPr>
        <w:t xml:space="preserve">тате проведения сравнительного анализа среднерыночной стоимости объектов, имеющих схожие характеристики с учетом корректировки на текущее состояние имуществ должника, финансовым управляющим определена следующая стоимость имущества должника по состоянию на </w:t>
      </w:r>
      <w:r>
        <w:rPr>
          <w:sz w:val="20"/>
          <w:szCs w:val="20"/>
        </w:rPr>
        <w:t xml:space="preserve">05.05.2026</w:t>
      </w:r>
      <w:r>
        <w:rPr>
          <w:sz w:val="20"/>
          <w:szCs w:val="20"/>
        </w:rPr>
        <w:t xml:space="preserve"> г.: </w:t>
      </w:r>
      <w:r>
        <w:rPr>
          <w:sz w:val="20"/>
          <w:szCs w:val="20"/>
        </w:rPr>
      </w:r>
    </w:p>
    <w:tbl>
      <w:tblPr>
        <w:tblW w:w="5000" w:type="pct"/>
        <w:tblCellSpacing w:w="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</w:tblBorders>
        <w:tblCellMar>
          <w:left w:w="45" w:type="dxa"/>
          <w:top w:w="45" w:type="dxa"/>
          <w:right w:w="45" w:type="dxa"/>
          <w:bottom w:w="45" w:type="dxa"/>
        </w:tblCellMar>
        <w:tblLook w:val="04A0" w:firstRow="1" w:lastRow="0" w:firstColumn="1" w:lastColumn="0" w:noHBand="0" w:noVBand="1"/>
      </w:tblPr>
      <w:tblGrid>
        <w:gridCol w:w="559"/>
        <w:gridCol w:w="5335"/>
        <w:gridCol w:w="4012"/>
      </w:tblGrid>
      <w:tr>
        <w:tblPrEx/>
        <w:trPr>
          <w:tblCellSpacing w:w="0" w:type="dxa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82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№ п/п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693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Наименование, характеристика объекта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025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Рыночная стоимость,руб.</w:t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blCellSpacing w:w="0" w:type="dxa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82" w:type="pct"/>
            <w:vAlign w:val="center"/>
            <w:textDirection w:val="lrTb"/>
            <w:noWrap w:val="false"/>
          </w:tcPr>
          <w:p>
            <w:pPr>
              <w:pStyle w:val="706"/>
              <w:numPr>
                <w:ilvl w:val="0"/>
                <w:numId w:val="7"/>
              </w:num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693" w:type="pct"/>
            <w:vAlign w:val="center"/>
            <w:textDirection w:val="lrTb"/>
            <w:noWrap w:val="false"/>
          </w:tcPr>
          <w:p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t xml:space="preserve">Кадастровый номер: 22:61:020801:328</w:t>
            </w:r>
            <w:r/>
          </w:p>
          <w:p>
            <w:r>
              <w:rPr>
                <w:sz w:val="20"/>
                <w:szCs w:val="20"/>
              </w:rPr>
            </w:r>
            <w:r/>
          </w:p>
          <w:p>
            <w:r>
              <w:rPr>
                <w:sz w:val="20"/>
                <w:szCs w:val="20"/>
              </w:rPr>
              <w:t xml:space="preserve">Категория земли: ЗЕМЛИ СЕЛЬСКОХОЗЯЙСТВЕННОГО НАЗНАЧЕНИЯ</w:t>
            </w:r>
            <w:r/>
          </w:p>
          <w:p>
            <w:r>
              <w:rPr>
                <w:sz w:val="20"/>
                <w:szCs w:val="20"/>
              </w:rPr>
            </w:r>
            <w:r/>
          </w:p>
          <w:p>
            <w:r>
              <w:rPr>
                <w:sz w:val="20"/>
                <w:szCs w:val="20"/>
              </w:rPr>
              <w:t xml:space="preserve">Вид разрешенного использования: Для ведения гражданами садоводства и огородничества</w:t>
            </w:r>
            <w:r/>
          </w:p>
          <w:p>
            <w:r>
              <w:rPr>
                <w:sz w:val="20"/>
                <w:szCs w:val="20"/>
              </w:rPr>
            </w:r>
            <w:r/>
          </w:p>
          <w:p>
            <w:r>
              <w:rPr>
                <w:sz w:val="20"/>
                <w:szCs w:val="20"/>
              </w:rPr>
              <w:t xml:space="preserve">Код территории муниципального образования по ОКТМО: 01701000</w:t>
            </w:r>
            <w:r/>
          </w:p>
          <w:p>
            <w:r>
              <w:rPr>
                <w:sz w:val="20"/>
                <w:szCs w:val="20"/>
              </w:rPr>
            </w:r>
            <w:r/>
          </w:p>
          <w:p>
            <w:r>
              <w:rPr>
                <w:sz w:val="20"/>
                <w:szCs w:val="20"/>
              </w:rPr>
              <w:t xml:space="preserve">Адрес места нахождения: Алтайский край, г. Барнаул, СНТ Михайловское, линия 10, 10А</w:t>
            </w:r>
            <w:r/>
          </w:p>
          <w:p>
            <w:r>
              <w:rPr>
                <w:sz w:val="20"/>
                <w:szCs w:val="20"/>
              </w:rPr>
            </w:r>
            <w:r/>
          </w:p>
          <w:p>
            <w:r>
              <w:rPr>
                <w:sz w:val="20"/>
                <w:szCs w:val="20"/>
              </w:rPr>
              <w:t xml:space="preserve">Площадь: 1500 кв. м</w:t>
            </w:r>
            <w:r/>
          </w:p>
          <w:p>
            <w:r>
              <w:rPr>
                <w:sz w:val="20"/>
                <w:szCs w:val="20"/>
              </w:rPr>
            </w:r>
            <w:r/>
          </w:p>
          <w:p>
            <w:r>
              <w:rPr>
                <w:sz w:val="20"/>
                <w:szCs w:val="20"/>
              </w:rPr>
              <w:t xml:space="preserve">Кадастровая стоимость: 102 720 руб.</w:t>
            </w:r>
            <w:r/>
          </w:p>
          <w:p>
            <w:r>
              <w:rPr>
                <w:sz w:val="20"/>
                <w:szCs w:val="20"/>
              </w:rPr>
            </w:r>
            <w:r/>
          </w:p>
          <w:p>
            <w:r>
              <w:rPr>
                <w:sz w:val="20"/>
                <w:szCs w:val="20"/>
              </w:rPr>
              <w:t xml:space="preserve">Дата утверждения кадастровой стоимости: 01.01.2023</w:t>
            </w:r>
            <w:r/>
          </w:p>
          <w:p>
            <w:r>
              <w:rPr>
                <w:sz w:val="20"/>
                <w:szCs w:val="20"/>
              </w:rPr>
            </w:r>
            <w:r/>
          </w:p>
          <w:p>
            <w:r>
              <w:rPr>
                <w:sz w:val="20"/>
                <w:szCs w:val="20"/>
              </w:rPr>
              <w:t xml:space="preserve">Сведения о регистрации права на земельный участок</w:t>
            </w:r>
            <w:r/>
          </w:p>
          <w:p>
            <w:r>
              <w:rPr>
                <w:sz w:val="20"/>
                <w:szCs w:val="20"/>
              </w:rPr>
            </w:r>
            <w:r/>
          </w:p>
          <w:p>
            <w:r>
              <w:rPr>
                <w:sz w:val="20"/>
                <w:szCs w:val="20"/>
              </w:rPr>
              <w:t xml:space="preserve">Вид права: Собственность</w:t>
            </w:r>
            <w:r/>
          </w:p>
          <w:p>
            <w:r>
              <w:rPr>
                <w:sz w:val="20"/>
                <w:szCs w:val="20"/>
              </w:rPr>
            </w:r>
            <w:r/>
          </w:p>
          <w:p>
            <w:r>
              <w:rPr>
                <w:sz w:val="20"/>
                <w:szCs w:val="20"/>
              </w:rPr>
              <w:t xml:space="preserve">Размер доли: 1 (единая / целая)</w:t>
            </w:r>
            <w:r/>
          </w:p>
          <w:p>
            <w:r>
              <w:rPr>
                <w:sz w:val="20"/>
                <w:szCs w:val="20"/>
              </w:rPr>
            </w:r>
            <w:r/>
          </w:p>
          <w:p>
            <w:r>
              <w:rPr>
                <w:sz w:val="20"/>
                <w:szCs w:val="20"/>
              </w:rPr>
              <w:t xml:space="preserve">Дата права: 20.11.2023</w:t>
            </w:r>
            <w:r/>
          </w:p>
          <w:p>
            <w:r>
              <w:rPr>
                <w:sz w:val="20"/>
                <w:szCs w:val="20"/>
              </w:rPr>
            </w:r>
            <w:r/>
          </w:p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Номер регистрации права: 22:61:020801:328-22/135/2023-2</w:t>
            </w:r>
            <w:r/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t xml:space="preserve">102 720</w:t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blCellSpacing w:w="0" w:type="dxa"/>
        </w:trPr>
        <w:tc>
          <w:tcPr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Итого: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jc w:val="righ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  <w:r>
              <w:rPr>
                <w:sz w:val="20"/>
                <w:szCs w:val="20"/>
              </w:rPr>
              <w:t xml:space="preserve">102 720 </w:t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98"/>
        <w:rPr>
          <w:sz w:val="20"/>
          <w:szCs w:val="20"/>
        </w:rPr>
      </w:pPr>
      <w:r>
        <w:rPr>
          <w:sz w:val="20"/>
          <w:szCs w:val="20"/>
        </w:rPr>
        <w:t xml:space="preserve">При проведении оценки рыночной стоимости имущества должника финансовый управляющий руководствовался федеральными стандартами оценки и Федеральным законом от 29.07.1998 № 135-ФЗ «Об оценочной деятельности в Российской Федерации». </w:t>
      </w:r>
      <w:r>
        <w:rPr>
          <w:sz w:val="20"/>
          <w:szCs w:val="20"/>
        </w:rPr>
      </w:r>
    </w:p>
    <w:p>
      <w:pPr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  <w:t xml:space="preserve">Кадастровый номер: 22:61:020801:328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rPr>
          <w:sz w:val="20"/>
          <w:szCs w:val="20"/>
        </w:rPr>
      </w:pPr>
      <w:r>
        <w:rPr>
          <w:sz w:val="20"/>
          <w:szCs w:val="20"/>
        </w:rPr>
        <w:t xml:space="preserve">Категория земли: ЗЕМЛИ СЕЛЬСКОХОЗЯЙСТВЕННОГО НАЗНАЧЕНИЯ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rPr>
          <w:sz w:val="20"/>
          <w:szCs w:val="20"/>
        </w:rPr>
      </w:pPr>
      <w:r>
        <w:rPr>
          <w:sz w:val="20"/>
          <w:szCs w:val="20"/>
        </w:rPr>
        <w:t xml:space="preserve">Вид разрешенного использования: Для ведения гражданами садоводства и огородничества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rPr>
          <w:sz w:val="20"/>
          <w:szCs w:val="20"/>
        </w:rPr>
      </w:pPr>
      <w:r>
        <w:rPr>
          <w:sz w:val="20"/>
          <w:szCs w:val="20"/>
        </w:rPr>
        <w:t xml:space="preserve">Код территории муниципального образования по ОКТМО: 01701000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rPr>
          <w:sz w:val="20"/>
          <w:szCs w:val="20"/>
        </w:rPr>
      </w:pPr>
      <w:r>
        <w:rPr>
          <w:sz w:val="20"/>
          <w:szCs w:val="20"/>
        </w:rPr>
        <w:t xml:space="preserve">Адрес места нахождения: Алтайский край, г. Барнаул, СНТ Михайловское, линия 10, 10А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rPr>
          <w:sz w:val="20"/>
          <w:szCs w:val="20"/>
        </w:rPr>
      </w:pPr>
      <w:r>
        <w:rPr>
          <w:sz w:val="20"/>
          <w:szCs w:val="20"/>
        </w:rPr>
        <w:t xml:space="preserve">Площадь: 1500 кв. м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rPr>
          <w:sz w:val="20"/>
          <w:szCs w:val="20"/>
        </w:rPr>
      </w:pPr>
      <w:r>
        <w:rPr>
          <w:sz w:val="20"/>
          <w:szCs w:val="20"/>
        </w:rPr>
        <w:t xml:space="preserve">Кадастровая стоимость: 102 720 руб.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rPr>
          <w:sz w:val="20"/>
          <w:szCs w:val="20"/>
        </w:rPr>
      </w:pPr>
      <w:r>
        <w:rPr>
          <w:sz w:val="20"/>
          <w:szCs w:val="20"/>
        </w:rPr>
        <w:t xml:space="preserve">Дата утверждения кадастровой стоимости: 01.01.2023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rPr>
          <w:sz w:val="20"/>
          <w:szCs w:val="20"/>
        </w:rPr>
      </w:pPr>
      <w:r>
        <w:rPr>
          <w:sz w:val="20"/>
          <w:szCs w:val="20"/>
        </w:rPr>
        <w:t xml:space="preserve">Сведения о регистрации права на земельный участок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rPr>
          <w:sz w:val="20"/>
          <w:szCs w:val="20"/>
        </w:rPr>
      </w:pPr>
      <w:r>
        <w:rPr>
          <w:sz w:val="20"/>
          <w:szCs w:val="20"/>
        </w:rPr>
        <w:t xml:space="preserve">Вид права: Собственность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rPr>
          <w:sz w:val="20"/>
          <w:szCs w:val="20"/>
        </w:rPr>
      </w:pPr>
      <w:r>
        <w:rPr>
          <w:sz w:val="20"/>
          <w:szCs w:val="20"/>
        </w:rPr>
        <w:t xml:space="preserve">Размер доли: 1 (единая / целая)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rPr>
          <w:sz w:val="20"/>
          <w:szCs w:val="20"/>
        </w:rPr>
      </w:pPr>
      <w:r>
        <w:rPr>
          <w:sz w:val="20"/>
          <w:szCs w:val="20"/>
        </w:rPr>
        <w:t xml:space="preserve">Дата права: 20.11.2023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rPr>
          <w:sz w:val="20"/>
          <w:szCs w:val="20"/>
          <w:highlight w:val="none"/>
        </w:rPr>
      </w:pPr>
      <w:r>
        <w:rPr>
          <w:sz w:val="20"/>
          <w:szCs w:val="20"/>
        </w:rPr>
        <w:t xml:space="preserve">Номер регистрации права: 22:61:020801:328-22/135/2023-2</w:t>
      </w:r>
      <w:r/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  <w:highlight w:val="none"/>
        </w:rPr>
      </w:r>
    </w:p>
    <w:p>
      <w:pPr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</w:rPr>
        <w:t xml:space="preserve">Кадастровая стоимость данного объекта, в соответствии с выпиской равна </w:t>
      </w:r>
      <w:r>
        <w:rPr>
          <w:sz w:val="20"/>
          <w:szCs w:val="20"/>
        </w:rPr>
      </w:r>
      <w:r>
        <w:rPr>
          <w:sz w:val="20"/>
          <w:szCs w:val="20"/>
        </w:rPr>
        <w:t xml:space="preserve">102 720</w:t>
      </w:r>
      <w:r/>
      <w:r>
        <w:rPr>
          <w:sz w:val="20"/>
          <w:szCs w:val="20"/>
        </w:rPr>
      </w:r>
      <w:r>
        <w:rPr>
          <w:sz w:val="20"/>
          <w:szCs w:val="20"/>
        </w:rPr>
        <w:t xml:space="preserve"> рублей</w:t>
      </w:r>
      <w:r>
        <w:rPr>
          <w:sz w:val="20"/>
          <w:szCs w:val="20"/>
        </w:rPr>
        <w:t xml:space="preserve">.</w:t>
      </w:r>
      <w:r>
        <w:rPr>
          <w:sz w:val="20"/>
          <w:szCs w:val="20"/>
        </w:rPr>
        <w:t xml:space="preserve"> </w:t>
      </w:r>
      <w:r/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hyperlink r:id="rId11" w:tooltip="https://lk.rosreestr.ru/eservices/real-estate-objects-online?ref=destralegal.ru" w:history="1">
        <w:r>
          <w:rPr>
            <w:rStyle w:val="707"/>
            <w:sz w:val="20"/>
            <w:szCs w:val="20"/>
          </w:rPr>
          <w:t xml:space="preserve">https://lk.rosreestr.ru/eservices/real-estate-objects-online?ref=destralegal.ru</w:t>
        </w:r>
        <w:r>
          <w:rPr>
            <w:rStyle w:val="707"/>
            <w:sz w:val="20"/>
            <w:szCs w:val="20"/>
          </w:rPr>
        </w:r>
      </w:hyperlink>
      <w:r>
        <w:rPr>
          <w:sz w:val="20"/>
          <w:szCs w:val="20"/>
        </w:rPr>
        <w:t xml:space="preserve"> </w:t>
      </w:r>
      <w:r>
        <w:rPr>
          <w:sz w:val="20"/>
          <w:szCs w:val="20"/>
        </w:rPr>
      </w:r>
    </w:p>
    <w:p>
      <w:pPr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300470" cy="6346392"/>
                <wp:effectExtent l="0" t="0" r="0" b="0"/>
                <wp:docPr id="2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98252235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2"/>
                        <a:stretch/>
                      </pic:blipFill>
                      <pic:spPr bwMode="auto">
                        <a:xfrm>
                          <a:off x="0" y="0"/>
                          <a:ext cx="6300469" cy="634639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width:496.10pt;height:499.72pt;mso-wrap-distance-left:0.00pt;mso-wrap-distance-top:0.00pt;mso-wrap-distance-right:0.00pt;mso-wrap-distance-bottom:0.00pt;" stroked="false">
                <v:path textboxrect="0,0,0,0"/>
                <v:imagedata r:id="rId12" o:title=""/>
              </v:shape>
            </w:pict>
          </mc:Fallback>
        </mc:AlternateConten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3800475" cy="6581775"/>
                <wp:effectExtent l="0" t="0" r="0" b="0"/>
                <wp:docPr id="3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29773206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3"/>
                        <a:stretch/>
                      </pic:blipFill>
                      <pic:spPr bwMode="auto">
                        <a:xfrm>
                          <a:off x="0" y="0"/>
                          <a:ext cx="3800475" cy="658177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" o:spid="_x0000_s2" type="#_x0000_t75" style="width:299.25pt;height:518.25pt;mso-wrap-distance-left:0.00pt;mso-wrap-distance-top:0.00pt;mso-wrap-distance-right:0.00pt;mso-wrap-distance-bottom:0.00pt;" stroked="false">
                <v:path textboxrect="0,0,0,0"/>
                <v:imagedata r:id="rId13" o:title=""/>
              </v:shape>
            </w:pict>
          </mc:Fallback>
        </mc:AlternateConten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rPr>
          <w:sz w:val="20"/>
          <w:szCs w:val="20"/>
        </w:rPr>
      </w:pPr>
      <w:r>
        <w:rPr>
          <w:sz w:val="20"/>
          <w:szCs w:val="20"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300470" cy="6309694"/>
                <wp:effectExtent l="0" t="0" r="0" b="0"/>
                <wp:docPr id="4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4001962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4"/>
                        <a:stretch/>
                      </pic:blipFill>
                      <pic:spPr bwMode="auto">
                        <a:xfrm>
                          <a:off x="0" y="0"/>
                          <a:ext cx="6300469" cy="630969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" o:spid="_x0000_s3" type="#_x0000_t75" style="width:496.10pt;height:496.83pt;mso-wrap-distance-left:0.00pt;mso-wrap-distance-top:0.00pt;mso-wrap-distance-right:0.00pt;mso-wrap-distance-bottom:0.00pt;" stroked="false">
                <v:path textboxrect="0,0,0,0"/>
                <v:imagedata r:id="rId14" o:title=""/>
              </v:shape>
            </w:pict>
          </mc:Fallback>
        </mc:AlternateConten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697"/>
        <w:rPr>
          <w:sz w:val="20"/>
          <w:szCs w:val="20"/>
        </w:rPr>
      </w:pPr>
      <w:r>
        <w:rPr>
          <w:sz w:val="20"/>
          <w:szCs w:val="20"/>
        </w:rPr>
        <w:t xml:space="preserve"> </w:t>
      </w:r>
      <w:r>
        <w:rPr>
          <w:sz w:val="20"/>
          <w:szCs w:val="20"/>
        </w:rPr>
      </w:r>
    </w:p>
    <w:tbl>
      <w:tblPr>
        <w:tblW w:w="5000" w:type="pct"/>
        <w:tblCellSpacing w:w="0" w:type="dxa"/>
        <w:tblCellMar>
          <w:left w:w="45" w:type="dxa"/>
          <w:top w:w="45" w:type="dxa"/>
          <w:right w:w="45" w:type="dxa"/>
          <w:bottom w:w="45" w:type="dxa"/>
        </w:tblCellMar>
        <w:tblLook w:val="04A0" w:firstRow="1" w:lastRow="0" w:firstColumn="1" w:lastColumn="0" w:noHBand="0" w:noVBand="1"/>
      </w:tblPr>
      <w:tblGrid>
        <w:gridCol w:w="4518"/>
        <w:gridCol w:w="1522"/>
        <w:gridCol w:w="3882"/>
      </w:tblGrid>
      <w:tr>
        <w:tblPrEx/>
        <w:trPr>
          <w:tblCellSpacing w:w="0" w:type="dxa"/>
        </w:trPr>
        <w:tc>
          <w:tcPr>
            <w:tcW w:w="5250" w:type="dxa"/>
            <w:textDirection w:val="lrTb"/>
            <w:noWrap w:val="false"/>
          </w:tcPr>
          <w:p>
            <w:pPr>
              <w:pStyle w:val="697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</w:rPr>
              <w:t xml:space="preserve">Финансовый</w:t>
            </w:r>
            <w:r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 xml:space="preserve">управляющий</w:t>
            </w:r>
            <w:r>
              <w:rPr>
                <w:b/>
                <w:bCs/>
                <w:sz w:val="20"/>
                <w:szCs w:val="20"/>
                <w:lang w:val="en-US"/>
              </w:rPr>
              <w:br/>
            </w:r>
            <w:r>
              <w:rPr>
                <w:b/>
                <w:bCs/>
                <w:sz w:val="20"/>
                <w:szCs w:val="20"/>
                <w:lang w:val="en-US"/>
              </w:rPr>
              <w:t xml:space="preserve">Гафуржонова Амиржона Муминжоновича</w:t>
            </w:r>
            <w:r>
              <w:rPr>
                <w:b/>
                <w:bCs/>
                <w:sz w:val="20"/>
                <w:szCs w:val="20"/>
                <w:lang w:val="en-US"/>
              </w:rPr>
            </w:r>
          </w:p>
        </w:tc>
        <w:tc>
          <w:tcPr>
            <w:tcW w:w="3300" w:type="dxa"/>
            <w:vAlign w:val="center"/>
            <w:textDirection w:val="lrTb"/>
            <w:noWrap w:val="false"/>
          </w:tcPr>
          <w:p>
            <w:pPr>
              <w:pStyle w:val="697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br/>
            </w:r>
            <w:r/>
            <w:r>
              <w:rPr>
                <w:sz w:val="20"/>
                <w:szCs w:val="20"/>
                <w:lang w:val="en-US"/>
              </w:rPr>
            </w:r>
          </w:p>
        </w:tc>
        <w:tc>
          <w:tcPr>
            <w:tcW w:w="3000" w:type="dxa"/>
            <w:textDirection w:val="lrTb"/>
            <w:noWrap w:val="false"/>
          </w:tcPr>
          <w:p>
            <w:pPr>
              <w:ind w:left="212"/>
              <w:jc w:val="right"/>
              <w:tabs>
                <w:tab w:val="left" w:pos="453" w:leader="none"/>
              </w:tabs>
              <w:rPr>
                <w:lang w:val="en-US"/>
              </w:rPr>
            </w:pPr>
            <w:r>
              <w:rPr>
                <w:b/>
                <w:bCs/>
                <w:sz w:val="20"/>
                <w:szCs w:val="20"/>
              </w:rPr>
              <w:t xml:space="preserve">М.В. Косточкина</w:t>
            </w:r>
            <w:r>
              <w:rPr>
                <w:lang w:val="en-US"/>
              </w:rPr>
            </w:r>
          </w:p>
          <w:p>
            <w:pPr>
              <w:pStyle w:val="697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tbl>
      <w:tblPr>
        <w:tblStyle w:val="709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9912"/>
      </w:tblGrid>
      <w:tr>
        <w:tblPrEx/>
        <w:trPr>
          <w:trHeight w:val="10548"/>
        </w:trPr>
        <w:tc>
          <w:tcPr>
            <w:tcW w:w="9912" w:type="dxa"/>
            <w:textDirection w:val="lrTb"/>
            <w:noWrap w:val="false"/>
          </w:tcPr>
          <w:tbl>
            <w:tblPr>
              <w:tblStyle w:val="709"/>
              <w:tblW w:w="0" w:type="auto"/>
              <w:tblLook w:val="04A0" w:firstRow="1" w:lastRow="0" w:firstColumn="1" w:lastColumn="0" w:noHBand="0" w:noVBand="1"/>
            </w:tblPr>
            <w:tblGrid>
              <w:gridCol w:w="9696"/>
            </w:tblGrid>
            <w:tr>
              <w:tblPrEx/>
              <w:trPr>
                <w:trHeight w:val="7616"/>
              </w:trPr>
              <w:tc>
                <w:tcPr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9912" w:type="dxa"/>
                  <w:textDirection w:val="lrTb"/>
                  <w:noWrap w:val="false"/>
                </w:tcPr>
                <w:p>
                  <w:pPr>
                    <w:jc w:val="right"/>
                    <w:rPr>
                      <w:b/>
                      <w:bCs/>
                      <w:i/>
                      <w:i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i/>
                      <w:iCs/>
                      <w:sz w:val="20"/>
                      <w:szCs w:val="20"/>
                    </w:rPr>
                    <w:t xml:space="preserve">Приложение №2. к решению об оценке имущества</w:t>
                  </w:r>
                  <w:r>
                    <w:rPr>
                      <w:b/>
                      <w:bCs/>
                      <w:i/>
                      <w:iCs/>
                      <w:sz w:val="20"/>
                      <w:szCs w:val="20"/>
                    </w:rPr>
                  </w:r>
                </w:p>
                <w:p>
                  <w:pPr>
                    <w:jc w:val="right"/>
                    <w:rPr>
                      <w:b/>
                      <w:bCs/>
                      <w:i/>
                      <w:iCs/>
                      <w:sz w:val="20"/>
                      <w:szCs w:val="20"/>
                      <w:lang w:val="en-US"/>
                    </w:rPr>
                  </w:pPr>
                  <w:r>
                    <w:rPr>
                      <w:b/>
                      <w:bCs/>
                      <w:i/>
                      <w:iCs/>
                      <w:sz w:val="20"/>
                      <w:szCs w:val="20"/>
                      <w:lang w:val="en-US"/>
                    </w:rPr>
                    <w:t xml:space="preserve">Гафуржонова А. М. </w:t>
                  </w:r>
                  <w:r>
                    <w:rPr>
                      <w:b/>
                      <w:bCs/>
                      <w:i/>
                      <w:iCs/>
                      <w:sz w:val="20"/>
                      <w:szCs w:val="20"/>
                    </w:rPr>
                    <w:t xml:space="preserve">в</w:t>
                  </w:r>
                  <w:r>
                    <w:rPr>
                      <w:b/>
                      <w:bCs/>
                      <w:i/>
                      <w:iCs/>
                      <w:sz w:val="20"/>
                      <w:szCs w:val="20"/>
                      <w:lang w:val="en-US"/>
                    </w:rPr>
                    <w:t xml:space="preserve"> </w:t>
                  </w:r>
                  <w:r>
                    <w:rPr>
                      <w:b/>
                      <w:bCs/>
                      <w:i/>
                      <w:iCs/>
                      <w:sz w:val="20"/>
                      <w:szCs w:val="20"/>
                    </w:rPr>
                    <w:t xml:space="preserve">деле</w:t>
                  </w:r>
                  <w:r>
                    <w:rPr>
                      <w:b/>
                      <w:bCs/>
                      <w:i/>
                      <w:iCs/>
                      <w:sz w:val="20"/>
                      <w:szCs w:val="20"/>
                      <w:lang w:val="en-US"/>
                    </w:rPr>
                    <w:t xml:space="preserve"> </w:t>
                  </w:r>
                  <w:r>
                    <w:rPr>
                      <w:b/>
                      <w:bCs/>
                      <w:i/>
                      <w:iCs/>
                      <w:sz w:val="20"/>
                      <w:szCs w:val="20"/>
                    </w:rPr>
                    <w:t xml:space="preserve">о</w:t>
                  </w:r>
                  <w:r>
                    <w:rPr>
                      <w:b/>
                      <w:bCs/>
                      <w:i/>
                      <w:iCs/>
                      <w:sz w:val="20"/>
                      <w:szCs w:val="20"/>
                      <w:lang w:val="en-US"/>
                    </w:rPr>
                    <w:t xml:space="preserve"> </w:t>
                  </w:r>
                  <w:r>
                    <w:rPr>
                      <w:b/>
                      <w:bCs/>
                      <w:i/>
                      <w:iCs/>
                      <w:sz w:val="20"/>
                      <w:szCs w:val="20"/>
                    </w:rPr>
                    <w:t xml:space="preserve">банкротстве</w:t>
                  </w:r>
                  <w:r>
                    <w:rPr>
                      <w:b/>
                      <w:bCs/>
                      <w:i/>
                      <w:iCs/>
                      <w:sz w:val="20"/>
                      <w:szCs w:val="20"/>
                      <w:lang w:val="en-US"/>
                    </w:rPr>
                    <w:t xml:space="preserve"> №</w:t>
                  </w:r>
                  <w:r>
                    <w:rPr>
                      <w:lang w:val="en-US"/>
                    </w:rPr>
                    <w:t xml:space="preserve"> </w:t>
                  </w:r>
                  <w:r>
                    <w:rPr>
                      <w:b/>
                      <w:bCs/>
                      <w:i/>
                      <w:iCs/>
                      <w:sz w:val="20"/>
                      <w:szCs w:val="20"/>
                      <w:lang w:val="en-US"/>
                    </w:rPr>
                    <w:t xml:space="preserve">№А03-3563/2026</w:t>
                  </w:r>
                  <w:r>
                    <w:rPr>
                      <w:b/>
                      <w:bCs/>
                      <w:i/>
                      <w:iCs/>
                      <w:sz w:val="20"/>
                      <w:szCs w:val="20"/>
                      <w:lang w:val="en-US"/>
                    </w:rPr>
                  </w:r>
                </w:p>
                <w:p>
                  <w:pPr>
                    <w:spacing w:before="91"/>
                    <w:rPr>
                      <w:b/>
                      <w:i/>
                      <w:sz w:val="23"/>
                    </w:rPr>
                  </w:pPr>
                  <w:r>
                    <w:rPr>
                      <w:b/>
                      <w:i/>
                      <w:spacing w:val="-1"/>
                      <w:sz w:val="23"/>
                    </w:rPr>
                    <w:t xml:space="preserve">РАСЧЕТ</w:t>
                  </w:r>
                  <w:r>
                    <w:rPr>
                      <w:b/>
                      <w:i/>
                      <w:spacing w:val="-12"/>
                      <w:sz w:val="23"/>
                    </w:rPr>
                    <w:t xml:space="preserve"> </w:t>
                  </w:r>
                  <w:r>
                    <w:rPr>
                      <w:b/>
                      <w:i/>
                      <w:sz w:val="23"/>
                    </w:rPr>
                    <w:t xml:space="preserve">СТОИМОСТИ</w:t>
                  </w:r>
                  <w:r>
                    <w:rPr>
                      <w:b/>
                      <w:i/>
                      <w:spacing w:val="-13"/>
                      <w:sz w:val="23"/>
                    </w:rPr>
                    <w:t xml:space="preserve"> </w:t>
                  </w:r>
                  <w:r>
                    <w:rPr>
                      <w:b/>
                      <w:i/>
                      <w:sz w:val="23"/>
                    </w:rPr>
                    <w:t xml:space="preserve">ИМУЩЕСТВА</w:t>
                  </w:r>
                  <w:r>
                    <w:rPr>
                      <w:b/>
                      <w:i/>
                      <w:spacing w:val="-14"/>
                      <w:sz w:val="23"/>
                    </w:rPr>
                    <w:t xml:space="preserve"> </w:t>
                  </w:r>
                  <w:r>
                    <w:rPr>
                      <w:b/>
                      <w:i/>
                      <w:sz w:val="23"/>
                    </w:rPr>
                    <w:t xml:space="preserve">ДОЛЖНИКА</w:t>
                  </w:r>
                  <w:r>
                    <w:rPr>
                      <w:b/>
                      <w:i/>
                      <w:spacing w:val="-11"/>
                      <w:sz w:val="23"/>
                    </w:rPr>
                    <w:t xml:space="preserve"> </w:t>
                  </w:r>
                  <w:r>
                    <w:rPr>
                      <w:b/>
                      <w:i/>
                      <w:sz w:val="23"/>
                    </w:rPr>
                    <w:t xml:space="preserve">методом</w:t>
                  </w:r>
                  <w:r>
                    <w:rPr>
                      <w:b/>
                      <w:i/>
                      <w:spacing w:val="-12"/>
                      <w:sz w:val="23"/>
                    </w:rPr>
                    <w:t xml:space="preserve"> </w:t>
                  </w:r>
                  <w:r>
                    <w:rPr>
                      <w:b/>
                      <w:i/>
                      <w:sz w:val="23"/>
                    </w:rPr>
                    <w:t xml:space="preserve">сравнительного</w:t>
                  </w:r>
                  <w:r>
                    <w:rPr>
                      <w:b/>
                      <w:i/>
                      <w:spacing w:val="-11"/>
                      <w:sz w:val="23"/>
                    </w:rPr>
                    <w:t xml:space="preserve"> </w:t>
                  </w:r>
                  <w:r>
                    <w:rPr>
                      <w:b/>
                      <w:i/>
                      <w:sz w:val="23"/>
                    </w:rPr>
                    <w:t xml:space="preserve">анализа</w:t>
                  </w:r>
                  <w:r>
                    <w:rPr>
                      <w:b/>
                      <w:i/>
                      <w:spacing w:val="-11"/>
                      <w:sz w:val="23"/>
                    </w:rPr>
                    <w:t xml:space="preserve"> </w:t>
                  </w:r>
                  <w:r>
                    <w:rPr>
                      <w:b/>
                      <w:i/>
                      <w:sz w:val="23"/>
                    </w:rPr>
                    <w:t xml:space="preserve">с</w:t>
                  </w:r>
                  <w:r>
                    <w:rPr>
                      <w:b/>
                      <w:i/>
                      <w:spacing w:val="-55"/>
                      <w:sz w:val="23"/>
                    </w:rPr>
                    <w:t xml:space="preserve"> </w:t>
                  </w:r>
                  <w:r>
                    <w:rPr>
                      <w:b/>
                      <w:i/>
                      <w:sz w:val="23"/>
                    </w:rPr>
                    <w:t xml:space="preserve">объектами-аналогами</w:t>
                  </w:r>
                  <w:r>
                    <w:rPr>
                      <w:b/>
                      <w:i/>
                      <w:sz w:val="23"/>
                    </w:rPr>
                  </w:r>
                </w:p>
                <w:p>
                  <w:pPr>
                    <w:spacing w:line="274" w:lineRule="exact"/>
                    <w:rPr>
                      <w:b/>
                      <w:i/>
                    </w:rPr>
                  </w:pPr>
                  <w:r>
                    <w:rPr>
                      <w:b/>
                      <w:i/>
                    </w:rPr>
                    <w:t xml:space="preserve">РАСЧЕТ:</w:t>
                  </w:r>
                  <w:r>
                    <w:rPr>
                      <w:b/>
                      <w:i/>
                    </w:rPr>
                  </w:r>
                </w:p>
                <w:p>
                  <w:pPr>
                    <w:pStyle w:val="704"/>
                    <w:jc w:val="both"/>
                    <w:spacing w:line="274" w:lineRule="exact"/>
                  </w:pPr>
                  <w:r>
                    <w:t xml:space="preserve">Подобрано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 xml:space="preserve">аналогов: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 xml:space="preserve">3.</w:t>
                  </w:r>
                  <w:r/>
                </w:p>
                <w:p>
                  <w:pPr>
                    <w:pStyle w:val="704"/>
                    <w:jc w:val="both"/>
                  </w:pPr>
                  <w:r>
                    <w:t xml:space="preserve">Ценовой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 xml:space="preserve">диапазон: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 xml:space="preserve">от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 xml:space="preserve">4 550 000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 xml:space="preserve">рублей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 xml:space="preserve">до 5 9</w:t>
                  </w:r>
                  <w:r>
                    <w:rPr>
                      <w:spacing w:val="-4"/>
                    </w:rPr>
                    <w:t xml:space="preserve">00 000 </w:t>
                  </w:r>
                  <w:r>
                    <w:t xml:space="preserve">рублей.</w:t>
                  </w:r>
                  <w:r/>
                </w:p>
                <w:p>
                  <w:pPr>
                    <w:pStyle w:val="704"/>
                    <w:jc w:val="both"/>
                  </w:pPr>
                  <w:r>
                    <w:t xml:space="preserve">В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 xml:space="preserve">соответствии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 xml:space="preserve">с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 xml:space="preserve">состоянием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 xml:space="preserve">инфраструктурой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 xml:space="preserve">квартиры,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 xml:space="preserve">а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 xml:space="preserve">также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 xml:space="preserve">местонахождением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 xml:space="preserve">объекта оценки,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 xml:space="preserve">для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 xml:space="preserve">которых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 xml:space="preserve">аналог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 xml:space="preserve">такого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 xml:space="preserve">рода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 xml:space="preserve">объекта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 xml:space="preserve">обычно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 xml:space="preserve">используется (местонахождение Белгородская обл.), оценка стоимости может производиться</w:t>
                  </w:r>
                  <w:r>
                    <w:rPr>
                      <w:spacing w:val="-57"/>
                    </w:rPr>
                    <w:t xml:space="preserve"> </w:t>
                  </w:r>
                  <w:r>
                    <w:t xml:space="preserve">путем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 xml:space="preserve">сравнительного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 xml:space="preserve">подхода,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 xml:space="preserve">который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 xml:space="preserve">служит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 xml:space="preserve">для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 xml:space="preserve">оценки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 xml:space="preserve">рыночной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 xml:space="preserve">стоимости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 xml:space="preserve">объекта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 xml:space="preserve">исходя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 xml:space="preserve">из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 xml:space="preserve">методов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 xml:space="preserve">оценки,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 xml:space="preserve">основанных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 xml:space="preserve">на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 xml:space="preserve">получении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 xml:space="preserve">стоимости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 xml:space="preserve">объекта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 xml:space="preserve">оценки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 xml:space="preserve">путем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 xml:space="preserve">сравнения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 xml:space="preserve">оцениваемых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 xml:space="preserve">объектов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 xml:space="preserve">с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 xml:space="preserve">объектами-аналогами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 xml:space="preserve">которые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 xml:space="preserve">были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 xml:space="preserve">проданы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 xml:space="preserve">или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 xml:space="preserve">предложены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 xml:space="preserve">в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 xml:space="preserve">продажу.</w:t>
                  </w:r>
                  <w:r/>
                </w:p>
                <w:p>
                  <w:pPr>
                    <w:pStyle w:val="704"/>
                    <w:jc w:val="both"/>
                  </w:pPr>
                  <w:r>
                    <w:t xml:space="preserve">Согласно перечисленным характеристикам, расчет стоимости квартиры будет </w:t>
                  </w:r>
                  <w:r>
                    <w:rPr>
                      <w:spacing w:val="-58"/>
                    </w:rPr>
                    <w:t xml:space="preserve"> </w:t>
                  </w:r>
                  <w:r>
                    <w:t xml:space="preserve">проводиться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 xml:space="preserve">сравнительным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 xml:space="preserve">подходом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 xml:space="preserve">к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 xml:space="preserve">оценке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 xml:space="preserve">недвижимости:</w:t>
                  </w:r>
                  <w:r/>
                </w:p>
                <w:p>
                  <w:pPr>
                    <w:pStyle w:val="704"/>
                    <w:jc w:val="both"/>
                    <w:rPr>
                      <w:spacing w:val="15"/>
                    </w:rPr>
                  </w:pPr>
                  <w:r>
                    <w:t xml:space="preserve">Среднее</w:t>
                  </w:r>
                  <w:r>
                    <w:rPr>
                      <w:spacing w:val="14"/>
                    </w:rPr>
                    <w:t xml:space="preserve"> </w:t>
                  </w:r>
                  <w:r>
                    <w:t xml:space="preserve">арифметическое:</w:t>
                  </w:r>
                  <w:r>
                    <w:rPr>
                      <w:spacing w:val="16"/>
                    </w:rPr>
                    <w:t xml:space="preserve"> </w:t>
                  </w:r>
                  <w:r>
                    <w:t xml:space="preserve">(4550000+5000000+5900000)/3</w:t>
                  </w:r>
                  <w:r>
                    <w:rPr>
                      <w:spacing w:val="15"/>
                    </w:rPr>
                    <w:t xml:space="preserve"> </w:t>
                  </w:r>
                  <w:r>
                    <w:t xml:space="preserve">=</w:t>
                  </w:r>
                  <w:r>
                    <w:t xml:space="preserve">150000</w:t>
                  </w:r>
                  <w:r>
                    <w:rPr>
                      <w:spacing w:val="15"/>
                    </w:rPr>
                    <w:t xml:space="preserve">/2= 2 575 000</w:t>
                  </w:r>
                  <w:r>
                    <w:rPr>
                      <w:spacing w:val="15"/>
                    </w:rPr>
                  </w:r>
                </w:p>
                <w:p>
                  <w:pPr>
                    <w:pStyle w:val="704"/>
                    <w:jc w:val="both"/>
                  </w:pPr>
                  <w:r/>
                  <w:r/>
                </w:p>
                <w:p>
                  <w:pPr>
                    <w:rPr>
                      <w:b/>
                      <w:i/>
                      <w:sz w:val="20"/>
                    </w:rPr>
                  </w:pPr>
                  <w:r>
                    <w:rPr>
                      <w:b/>
                      <w:i/>
                      <w:sz w:val="20"/>
                    </w:rPr>
                    <w:t xml:space="preserve">ЗАКЛЮЧЕНИЕ:</w:t>
                  </w:r>
                  <w:r>
                    <w:rPr>
                      <w:b/>
                      <w:i/>
                      <w:sz w:val="20"/>
                    </w:rPr>
                  </w:r>
                </w:p>
                <w:p>
                  <w:pPr>
                    <w:rPr>
                      <w:b/>
                      <w:i/>
                      <w:sz w:val="20"/>
                    </w:rPr>
                  </w:pPr>
                  <w:r>
                    <w:rPr>
                      <w:b/>
                      <w:i/>
                      <w:sz w:val="20"/>
                    </w:rPr>
                  </w:r>
                  <w:r>
                    <w:rPr>
                      <w:b/>
                      <w:i/>
                      <w:sz w:val="20"/>
                    </w:rPr>
                  </w:r>
                </w:p>
                <w:p>
                  <w:pPr>
                    <w:pStyle w:val="704"/>
                    <w:jc w:val="both"/>
                    <w:spacing w:before="1"/>
                  </w:pPr>
                  <w:r>
                    <w:t xml:space="preserve">Путём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 xml:space="preserve">сравнительного подхода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 xml:space="preserve">к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 xml:space="preserve">оценке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 xml:space="preserve">квартиры,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 xml:space="preserve">согласно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 xml:space="preserve">которому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 xml:space="preserve">наибольшая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 xml:space="preserve">стоимость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 xml:space="preserve">объекта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 xml:space="preserve">определяется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 xml:space="preserve">наименьшей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 xml:space="preserve">ценой,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 xml:space="preserve">по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 xml:space="preserve">которой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 xml:space="preserve">может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 xml:space="preserve">быть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 xml:space="preserve">приобретен другой объект с аналогичной полезностью, а также в соответствии с состоянием и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 xml:space="preserve">местонахождением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 xml:space="preserve">оцениваемой доли в квартире</w:t>
                  </w:r>
                  <w:r/>
                </w:p>
                <w:p>
                  <w:pPr>
                    <w:pStyle w:val="704"/>
                    <w:jc w:val="both"/>
                    <w:spacing w:before="1"/>
                  </w:pPr>
                  <w:r/>
                  <w:r/>
                </w:p>
                <w:p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 xml:space="preserve">УСТАНОВИТЬ:</w:t>
                  </w:r>
                  <w:r>
                    <w:rPr>
                      <w:sz w:val="20"/>
                    </w:rPr>
                  </w:r>
                </w:p>
                <w:p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</w:r>
                  <w:r>
                    <w:rPr>
                      <w:sz w:val="20"/>
                    </w:rPr>
                  </w:r>
                </w:p>
                <w:p>
                  <w:pPr>
                    <w:jc w:val="center"/>
                    <w:spacing w:before="1"/>
                    <w:rPr>
                      <w:b/>
                      <w:sz w:val="20"/>
                    </w:rPr>
                  </w:pPr>
                  <w:r>
                    <w:rPr>
                      <w:sz w:val="20"/>
                    </w:rPr>
                    <w:t xml:space="preserve">Начальную</w:t>
                  </w:r>
                  <w:r>
                    <w:rPr>
                      <w:spacing w:val="-3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 xml:space="preserve">продажную</w:t>
                  </w:r>
                  <w:r>
                    <w:rPr>
                      <w:spacing w:val="-4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 xml:space="preserve">стоимость</w:t>
                  </w:r>
                  <w:r>
                    <w:rPr>
                      <w:spacing w:val="-5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 xml:space="preserve">имущества</w:t>
                  </w:r>
                  <w:r>
                    <w:rPr>
                      <w:spacing w:val="-4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 xml:space="preserve">должника</w:t>
                  </w:r>
                  <w:r>
                    <w:rPr>
                      <w:spacing w:val="-1"/>
                      <w:sz w:val="20"/>
                    </w:rPr>
                    <w:t xml:space="preserve"> </w:t>
                  </w:r>
                  <w:r>
                    <w:rPr>
                      <w:b/>
                      <w:sz w:val="20"/>
                    </w:rPr>
                    <w:t xml:space="preserve">2 575 000</w:t>
                  </w:r>
                  <w:r>
                    <w:rPr>
                      <w:b/>
                      <w:spacing w:val="-5"/>
                      <w:sz w:val="20"/>
                    </w:rPr>
                    <w:t xml:space="preserve"> </w:t>
                  </w:r>
                  <w:r>
                    <w:rPr>
                      <w:b/>
                      <w:sz w:val="20"/>
                    </w:rPr>
                    <w:t xml:space="preserve">(два миллиона пятьсот семьдесят пять тысяч)</w:t>
                  </w:r>
                  <w:r>
                    <w:rPr>
                      <w:b/>
                      <w:spacing w:val="-4"/>
                      <w:sz w:val="20"/>
                    </w:rPr>
                    <w:t xml:space="preserve"> </w:t>
                  </w:r>
                  <w:r>
                    <w:rPr>
                      <w:b/>
                      <w:sz w:val="20"/>
                    </w:rPr>
                    <w:t xml:space="preserve">рублей</w:t>
                  </w:r>
                  <w:r>
                    <w:rPr>
                      <w:b/>
                      <w:sz w:val="20"/>
                    </w:rPr>
                  </w:r>
                </w:p>
                <w:p>
                  <w:pPr>
                    <w:jc w:val="center"/>
                    <w:spacing w:before="1"/>
                    <w:rPr>
                      <w:b/>
                      <w:bCs/>
                      <w:i/>
                      <w:iCs/>
                      <w:sz w:val="20"/>
                    </w:rPr>
                  </w:pPr>
                  <w:r/>
                  <w:r>
                    <w:rPr>
                      <w:b/>
                      <w:bCs/>
                      <w:i/>
                      <w:iCs/>
                      <w:sz w:val="20"/>
                    </w:rPr>
                  </w:r>
                </w:p>
                <w:p>
                  <w:pPr>
                    <w:spacing w:before="1"/>
                    <w:rPr>
                      <w:b/>
                      <w:bCs/>
                      <w:sz w:val="20"/>
                      <w:szCs w:val="20"/>
                      <w:lang w:val="en-US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Финансовый</w:t>
                  </w:r>
                  <w:r>
                    <w:rPr>
                      <w:b/>
                      <w:bCs/>
                      <w:sz w:val="20"/>
                      <w:szCs w:val="20"/>
                      <w:lang w:val="en-US"/>
                    </w:rP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управляющий</w:t>
                  </w:r>
                  <w:r>
                    <w:rPr>
                      <w:b/>
                      <w:bCs/>
                      <w:sz w:val="20"/>
                      <w:szCs w:val="20"/>
                      <w:lang w:val="en-US"/>
                    </w:rPr>
                    <w:br/>
                    <w:t xml:space="preserve">Гафуржонова Амиржона Муминжоновича</w:t>
                  </w:r>
                  <w:r>
                    <w:rPr>
                      <w:b/>
                      <w:bCs/>
                      <w:sz w:val="20"/>
                      <w:szCs w:val="20"/>
                      <w:lang w:val="en-US"/>
                    </w:rPr>
                  </w:r>
                  <w:r>
                    <w:rPr>
                      <w:b/>
                      <w:bCs/>
                      <w:sz w:val="20"/>
                      <w:szCs w:val="20"/>
                      <w:lang w:val="en-US"/>
                    </w:rPr>
                  </w:r>
                </w:p>
                <w:p>
                  <w:pPr>
                    <w:ind w:left="212"/>
                    <w:jc w:val="right"/>
                    <w:tabs>
                      <w:tab w:val="left" w:pos="453" w:leader="none"/>
                    </w:tabs>
                    <w:rPr>
                      <w:lang w:val="en-US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М.В. Косточкина</w:t>
                  </w:r>
                  <w:r>
                    <w:rPr>
                      <w:lang w:val="en-US"/>
                    </w:rPr>
                  </w:r>
                </w:p>
                <w:p>
                  <w:pPr>
                    <w:spacing w:before="1"/>
                    <w:rPr>
                      <w:b/>
                      <w:bCs/>
                      <w:i/>
                      <w:i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i/>
                      <w:iCs/>
                      <w:sz w:val="20"/>
                      <w:szCs w:val="20"/>
                    </w:rPr>
                  </w:r>
                  <w:r>
                    <w:rPr>
                      <w:b/>
                      <w:bCs/>
                      <w:i/>
                      <w:iCs/>
                      <w:sz w:val="20"/>
                      <w:szCs w:val="20"/>
                    </w:rPr>
                  </w:r>
                </w:p>
                <w:p>
                  <w:pPr>
                    <w:spacing w:before="1"/>
                    <w:rPr>
                      <w:b/>
                      <w:bCs/>
                      <w:i/>
                      <w:i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i/>
                      <w:iCs/>
                      <w:sz w:val="20"/>
                      <w:szCs w:val="20"/>
                    </w:rPr>
                  </w:r>
                  <w:r>
                    <w:rPr>
                      <w:b/>
                      <w:bCs/>
                      <w:i/>
                      <w:iCs/>
                      <w:sz w:val="20"/>
                      <w:szCs w:val="20"/>
                    </w:rPr>
                  </w:r>
                </w:p>
                <w:p>
                  <w:pPr>
                    <w:spacing w:before="1"/>
                    <w:rPr>
                      <w:b/>
                      <w:bCs/>
                      <w:i/>
                      <w:i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i/>
                      <w:iCs/>
                      <w:sz w:val="20"/>
                      <w:szCs w:val="20"/>
                    </w:rPr>
                  </w:r>
                  <w:r>
                    <w:rPr>
                      <w:b/>
                      <w:bCs/>
                      <w:i/>
                      <w:iCs/>
                      <w:sz w:val="20"/>
                      <w:szCs w:val="20"/>
                    </w:rPr>
                  </w:r>
                </w:p>
              </w:tc>
            </w:tr>
          </w:tbl>
          <w:p>
            <w:pPr>
              <w:rPr>
                <w:lang w:val="en-US"/>
              </w:rPr>
            </w:pPr>
            <w:r>
              <w:rPr>
                <w:lang w:val="en-US"/>
              </w:rPr>
            </w:r>
            <w:r>
              <w:rPr>
                <w:lang w:val="en-US"/>
              </w:rPr>
            </w:r>
          </w:p>
          <w:p>
            <w:r/>
            <w:r/>
          </w:p>
        </w:tc>
      </w:tr>
    </w:tbl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tbl>
      <w:tblPr>
        <w:tblStyle w:val="709"/>
        <w:tblW w:w="10744" w:type="dxa"/>
        <w:tblInd w:w="24" w:type="dxa"/>
        <w:tblLook w:val="04A0" w:firstRow="1" w:lastRow="0" w:firstColumn="1" w:lastColumn="0" w:noHBand="0" w:noVBand="1"/>
      </w:tblPr>
      <w:tblGrid>
        <w:gridCol w:w="10744"/>
      </w:tblGrid>
      <w:tr>
        <w:tblPrEx/>
        <w:trPr>
          <w:trHeight w:val="7020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744" w:type="dxa"/>
            <w:textDirection w:val="lrTb"/>
            <w:noWrap w:val="false"/>
          </w:tcPr>
          <w:tbl>
            <w:tblPr>
              <w:tblW w:w="1023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ook w:val="0000" w:firstRow="0" w:lastRow="0" w:firstColumn="0" w:lastColumn="0" w:noHBand="0" w:noVBand="0"/>
            </w:tblPr>
            <w:tblGrid>
              <w:gridCol w:w="10230"/>
            </w:tblGrid>
            <w:tr>
              <w:tblPrEx/>
              <w:trPr>
                <w:trHeight w:val="6000"/>
              </w:trPr>
              <w:tc>
                <w:tcPr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10230" w:type="dxa"/>
                  <w:textDirection w:val="lrTb"/>
                  <w:noWrap w:val="false"/>
                </w:tcPr>
                <w:p>
                  <w:pPr>
                    <w:ind w:left="24"/>
                  </w:pPr>
                  <w:r/>
                  <w:r/>
                </w:p>
                <w:p>
                  <w:pPr>
                    <w:jc w:val="right"/>
                    <w:rPr>
                      <w:b/>
                      <w:bCs/>
                      <w:i/>
                      <w:i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i/>
                      <w:iCs/>
                      <w:sz w:val="20"/>
                      <w:szCs w:val="20"/>
                    </w:rPr>
                    <w:t xml:space="preserve">Приложение №3. к решению об оценке имущества</w:t>
                  </w:r>
                  <w:r>
                    <w:rPr>
                      <w:b/>
                      <w:bCs/>
                      <w:i/>
                      <w:iCs/>
                      <w:sz w:val="20"/>
                      <w:szCs w:val="20"/>
                    </w:rPr>
                  </w:r>
                </w:p>
                <w:p>
                  <w:pPr>
                    <w:jc w:val="right"/>
                    <w:rPr>
                      <w:b/>
                      <w:bCs/>
                      <w:i/>
                      <w:iCs/>
                      <w:sz w:val="20"/>
                      <w:szCs w:val="20"/>
                      <w:lang w:val="en-US"/>
                    </w:rPr>
                  </w:pPr>
                  <w:r>
                    <w:rPr>
                      <w:b/>
                      <w:bCs/>
                      <w:i/>
                      <w:iCs/>
                      <w:sz w:val="20"/>
                      <w:szCs w:val="20"/>
                      <w:lang w:val="en-US"/>
                    </w:rPr>
                    <w:t xml:space="preserve">Гафуржонова А. М. </w:t>
                  </w:r>
                  <w:r>
                    <w:rPr>
                      <w:b/>
                      <w:bCs/>
                      <w:i/>
                      <w:iCs/>
                      <w:sz w:val="20"/>
                      <w:szCs w:val="20"/>
                    </w:rPr>
                    <w:t xml:space="preserve">в</w:t>
                  </w:r>
                  <w:r>
                    <w:rPr>
                      <w:b/>
                      <w:bCs/>
                      <w:i/>
                      <w:iCs/>
                      <w:sz w:val="20"/>
                      <w:szCs w:val="20"/>
                      <w:lang w:val="en-US"/>
                    </w:rPr>
                    <w:t xml:space="preserve"> </w:t>
                  </w:r>
                  <w:r>
                    <w:rPr>
                      <w:b/>
                      <w:bCs/>
                      <w:i/>
                      <w:iCs/>
                      <w:sz w:val="20"/>
                      <w:szCs w:val="20"/>
                    </w:rPr>
                    <w:t xml:space="preserve">деле</w:t>
                  </w:r>
                  <w:r>
                    <w:rPr>
                      <w:b/>
                      <w:bCs/>
                      <w:i/>
                      <w:iCs/>
                      <w:sz w:val="20"/>
                      <w:szCs w:val="20"/>
                      <w:lang w:val="en-US"/>
                    </w:rPr>
                    <w:t xml:space="preserve"> </w:t>
                  </w:r>
                  <w:r>
                    <w:rPr>
                      <w:b/>
                      <w:bCs/>
                      <w:i/>
                      <w:iCs/>
                      <w:sz w:val="20"/>
                      <w:szCs w:val="20"/>
                    </w:rPr>
                    <w:t xml:space="preserve">о</w:t>
                  </w:r>
                  <w:r>
                    <w:rPr>
                      <w:b/>
                      <w:bCs/>
                      <w:i/>
                      <w:iCs/>
                      <w:sz w:val="20"/>
                      <w:szCs w:val="20"/>
                      <w:lang w:val="en-US"/>
                    </w:rPr>
                    <w:t xml:space="preserve"> </w:t>
                  </w:r>
                  <w:r>
                    <w:rPr>
                      <w:b/>
                      <w:bCs/>
                      <w:i/>
                      <w:iCs/>
                      <w:sz w:val="20"/>
                      <w:szCs w:val="20"/>
                    </w:rPr>
                    <w:t xml:space="preserve">банкротстве</w:t>
                  </w:r>
                  <w:r>
                    <w:rPr>
                      <w:b/>
                      <w:bCs/>
                      <w:i/>
                      <w:iCs/>
                      <w:sz w:val="20"/>
                      <w:szCs w:val="20"/>
                      <w:lang w:val="en-US"/>
                    </w:rPr>
                    <w:t xml:space="preserve"> №</w:t>
                  </w:r>
                  <w:r>
                    <w:rPr>
                      <w:lang w:val="en-US"/>
                    </w:rPr>
                    <w:t xml:space="preserve"> </w:t>
                  </w:r>
                  <w:r>
                    <w:rPr>
                      <w:b/>
                      <w:bCs/>
                      <w:i/>
                      <w:iCs/>
                      <w:sz w:val="20"/>
                      <w:szCs w:val="20"/>
                      <w:lang w:val="en-US"/>
                    </w:rPr>
                    <w:t xml:space="preserve">№А03-3563/2026</w:t>
                  </w:r>
                  <w:r>
                    <w:rPr>
                      <w:b/>
                      <w:bCs/>
                      <w:i/>
                      <w:iCs/>
                      <w:sz w:val="20"/>
                      <w:szCs w:val="20"/>
                      <w:lang w:val="en-US"/>
                    </w:rPr>
                  </w:r>
                </w:p>
                <w:p>
                  <w:pPr>
                    <w:jc w:val="right"/>
                    <w:rPr>
                      <w:b/>
                      <w:bCs/>
                      <w:i/>
                      <w:iCs/>
                      <w:sz w:val="20"/>
                      <w:szCs w:val="20"/>
                      <w:lang w:val="en-US"/>
                    </w:rPr>
                  </w:pPr>
                  <w:r>
                    <w:rPr>
                      <w:b/>
                      <w:bCs/>
                      <w:i/>
                      <w:iCs/>
                      <w:sz w:val="20"/>
                      <w:szCs w:val="20"/>
                      <w:lang w:val="en-US"/>
                    </w:rPr>
                  </w:r>
                  <w:r>
                    <w:rPr>
                      <w:b/>
                      <w:bCs/>
                      <w:i/>
                      <w:iCs/>
                      <w:sz w:val="20"/>
                      <w:szCs w:val="20"/>
                      <w:lang w:val="en-US"/>
                    </w:rPr>
                  </w:r>
                </w:p>
                <w:p>
                  <w:pPr>
                    <w:numPr>
                      <w:ilvl w:val="0"/>
                      <w:numId w:val="3"/>
                    </w:numPr>
                    <w:ind w:left="744"/>
                  </w:pPr>
                  <w:r>
                    <w:t xml:space="preserve">2-к. квартира, 52 м ². Цена 4 550 000. Источник </w:t>
                  </w:r>
                  <w:r>
                    <w:rPr>
                      <w:lang w:val="en-US"/>
                    </w:rPr>
                    <w:t xml:space="preserve">avito</w:t>
                  </w:r>
                  <w:r>
                    <w:t xml:space="preserve">.ru.</w:t>
                  </w:r>
                  <w:r/>
                </w:p>
                <w:p>
                  <w:pPr>
                    <w:ind w:left="744"/>
                  </w:pPr>
                  <w:r/>
                  <w:hyperlink r:id="rId15" w:tooltip="https://www.avito.ru/staryy_oskol/kvartiry/2-k._kvartira_52_m_79_et._3732679690" w:history="1">
                    <w:r>
                      <w:rPr>
                        <w:rStyle w:val="707"/>
                      </w:rPr>
                      <w:t xml:space="preserve">https://www.avito.ru/staryy_oskol/kvartiry/2-k._kvartira_52_m_79_et._3732679690</w:t>
                    </w:r>
                  </w:hyperlink>
                  <w:r/>
                  <w:r/>
                </w:p>
                <w:p>
                  <w:pPr>
                    <w:ind w:left="24"/>
                    <w:spacing w:before="100" w:beforeAutospacing="1" w:after="100" w:afterAutospacing="1"/>
                  </w:pPr>
                  <w:r/>
                  <w:r/>
                </w:p>
                <w:p>
                  <w:pPr>
                    <w:ind w:left="744"/>
                  </w:pPr>
                  <w:r/>
                  <w:r/>
                </w:p>
                <w:p>
                  <w:pPr>
                    <w:ind w:left="24"/>
                  </w:pPr>
                  <w:r/>
                  <w:r/>
                </w:p>
                <w:p>
                  <w:pPr>
                    <w:ind w:left="24"/>
                  </w:pPr>
                  <w:r/>
                  <w:r/>
                </w:p>
                <w:p>
                  <w:pPr>
                    <w:ind w:left="24"/>
                  </w:pPr>
                  <w:r/>
                  <w:r/>
                </w:p>
                <w:p>
                  <w:pPr>
                    <w:ind w:left="24"/>
                  </w:pPr>
                  <w:r/>
                  <w:r/>
                </w:p>
                <w:p>
                  <w:pPr>
                    <w:ind w:left="24"/>
                  </w:pPr>
                  <w:r/>
                  <w:r/>
                </w:p>
                <w:p>
                  <w:pPr>
                    <w:ind w:left="24"/>
                  </w:pPr>
                  <w:r/>
                  <w:r/>
                </w:p>
                <w:p>
                  <w:pPr>
                    <w:ind w:left="24"/>
                  </w:pPr>
                  <w:r/>
                  <w:r/>
                </w:p>
                <w:p>
                  <w:pPr>
                    <w:numPr>
                      <w:ilvl w:val="0"/>
                      <w:numId w:val="3"/>
                    </w:numPr>
                    <w:ind w:left="744"/>
                  </w:pPr>
                  <w:r>
                    <w:t xml:space="preserve">2-к. квартира, 52,6 м ². Цена 5 900 000. Источник </w:t>
                  </w:r>
                  <w:r>
                    <w:rPr>
                      <w:lang w:val="en-US"/>
                    </w:rPr>
                    <w:t xml:space="preserve">avito</w:t>
                  </w:r>
                  <w:r>
                    <w:t xml:space="preserve">.ru.</w:t>
                  </w:r>
                  <w:r/>
                </w:p>
                <w:p>
                  <w:pPr>
                    <w:ind w:left="24"/>
                  </w:pPr>
                  <w:r/>
                  <w:hyperlink r:id="rId16" w:tooltip="https://www.avito.ru/staryy_oskol/kvartiry/2-k._kvartira_526_m_99_et._3950973298" w:history="1">
                    <w:r>
                      <w:rPr>
                        <w:rStyle w:val="707"/>
                      </w:rPr>
                      <w:t xml:space="preserve">https://www.avito.ru/staryy_oskol/kvartiry/2-k._kvartira_526_m_99_et._3950973298</w:t>
                    </w:r>
                  </w:hyperlink>
                  <w:r/>
                  <w:r/>
                </w:p>
                <w:p>
                  <w:pPr>
                    <w:ind w:left="24"/>
                  </w:pPr>
                  <w:r/>
                  <w:r/>
                </w:p>
                <w:p>
                  <w:pPr>
                    <w:ind w:left="24"/>
                  </w:pPr>
                  <w:r/>
                  <w:r/>
                </w:p>
                <w:p>
                  <w:pPr>
                    <w:ind w:left="24"/>
                    <w:rPr>
                      <w:b/>
                      <w:bCs/>
                      <w:sz w:val="20"/>
                      <w:szCs w:val="20"/>
                      <w:lang w:val="en-US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Финансовый</w:t>
                  </w:r>
                  <w:r>
                    <w:rPr>
                      <w:b/>
                      <w:bCs/>
                      <w:sz w:val="20"/>
                      <w:szCs w:val="20"/>
                      <w:lang w:val="en-US"/>
                    </w:rP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управляющий</w:t>
                  </w:r>
                  <w:r>
                    <w:rPr>
                      <w:b/>
                      <w:bCs/>
                      <w:sz w:val="20"/>
                      <w:szCs w:val="20"/>
                      <w:lang w:val="en-US"/>
                    </w:rPr>
                    <w:br/>
                    <w:t xml:space="preserve">Гафуржонова Амиржона Муминжоновича</w:t>
                  </w:r>
                  <w:r>
                    <w:rPr>
                      <w:b/>
                      <w:bCs/>
                      <w:sz w:val="20"/>
                      <w:szCs w:val="20"/>
                      <w:lang w:val="en-US"/>
                    </w:rPr>
                  </w:r>
                  <w:r>
                    <w:rPr>
                      <w:b/>
                      <w:bCs/>
                      <w:sz w:val="20"/>
                      <w:szCs w:val="20"/>
                      <w:lang w:val="en-US"/>
                    </w:rPr>
                  </w:r>
                </w:p>
                <w:p>
                  <w:pPr>
                    <w:ind w:left="212"/>
                    <w:jc w:val="right"/>
                    <w:tabs>
                      <w:tab w:val="left" w:pos="453" w:leader="none"/>
                    </w:tabs>
                    <w:rPr>
                      <w:lang w:val="en-US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М.В. Косточкина</w:t>
                  </w:r>
                  <w:r>
                    <w:rPr>
                      <w:lang w:val="en-US"/>
                    </w:rPr>
                  </w:r>
                </w:p>
                <w:p>
                  <w:pPr>
                    <w:ind w:left="24"/>
                  </w:pPr>
                  <w:r/>
                  <w:r/>
                </w:p>
                <w:p>
                  <w:pPr>
                    <w:ind w:left="24"/>
                  </w:pPr>
                  <w:r/>
                  <w:r/>
                </w:p>
                <w:p>
                  <w:pPr>
                    <w:ind w:left="24"/>
                  </w:pPr>
                  <w:r/>
                  <w:r/>
                </w:p>
              </w:tc>
            </w:tr>
          </w:tbl>
          <w:p>
            <w:pPr>
              <w:spacing w:before="100" w:beforeAutospacing="1" w:after="100" w:afterAutospacing="1"/>
              <w:rPr>
                <w:lang w:val="en-US"/>
              </w:rPr>
            </w:pPr>
            <w:r>
              <w:rPr>
                <w:lang w:val="en-US"/>
              </w:rPr>
            </w:r>
            <w:r>
              <w:rPr>
                <w:lang w:val="en-US"/>
              </w:rPr>
            </w:r>
          </w:p>
          <w:p>
            <w:r/>
            <w:r/>
          </w:p>
        </w:tc>
      </w:tr>
    </w:tbl>
    <w:p>
      <w:r/>
      <w:r/>
    </w:p>
    <w:sectPr>
      <w:footerReference w:type="default" r:id="rId9"/>
      <w:footnotePr/>
      <w:endnotePr/>
      <w:type w:val="nextPage"/>
      <w:pgSz w:w="11907" w:h="16840" w:orient="portrait"/>
      <w:pgMar w:top="851" w:right="851" w:bottom="851" w:left="1134" w:header="0" w:footer="567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Calibri Light">
    <w:panose1 w:val="020F0302020204030204"/>
  </w:font>
  <w:font w:name="Liberation Sans">
    <w:panose1 w:val="020B06040202020202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697"/>
      <w:jc w:val="right"/>
      <w:rPr>
        <w:sz w:val="20"/>
        <w:szCs w:val="20"/>
      </w:rPr>
    </w:pP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PAGE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</w:r>
  </w:p>
  <w:p>
    <w:pPr>
      <w:rPr>
        <w:sz w:val="20"/>
        <w:szCs w:val="20"/>
      </w:rPr>
    </w:pPr>
    <w:r>
      <w:rPr>
        <w:sz w:val="20"/>
        <w:szCs w:val="20"/>
      </w:rPr>
      <w:fldChar w:fldCharType="end"/>
    </w:r>
    <w:r>
      <w:rPr>
        <w:sz w:val="20"/>
        <w:szCs w:val="20"/>
      </w:rPr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897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61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3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5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77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49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1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3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57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"/>
      <w:lvlJc w:val="righ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452" w:hanging="240"/>
      </w:pPr>
      <w:rPr>
        <w:rFonts w:hint="default" w:ascii="Times New Roman" w:hAnsi="Times New Roman" w:eastAsia="Times New Roman" w:cs="Times New Roman"/>
        <w:sz w:val="24"/>
        <w:szCs w:val="24"/>
        <w:lang w:val="ru-RU" w:eastAsia="en-US" w:bidi="ar-SA"/>
      </w:rPr>
    </w:lvl>
    <w:lvl w:ilvl="1">
      <w:start w:val="1"/>
      <w:numFmt w:val="bullet"/>
      <w:isLgl w:val="false"/>
      <w:suff w:val="tab"/>
      <w:lvlText w:val="•"/>
      <w:lvlJc w:val="left"/>
      <w:pPr>
        <w:ind w:left="1438" w:hanging="240"/>
      </w:pPr>
      <w:rPr>
        <w:lang w:val="ru-RU" w:eastAsia="en-US" w:bidi="ar-SA"/>
      </w:rPr>
    </w:lvl>
    <w:lvl w:ilvl="2">
      <w:start w:val="1"/>
      <w:numFmt w:val="bullet"/>
      <w:isLgl w:val="false"/>
      <w:suff w:val="tab"/>
      <w:lvlText w:val="•"/>
      <w:lvlJc w:val="left"/>
      <w:pPr>
        <w:ind w:left="2417" w:hanging="240"/>
      </w:pPr>
      <w:rPr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3395" w:hanging="240"/>
      </w:pPr>
      <w:rPr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4374" w:hanging="240"/>
      </w:pPr>
      <w:rPr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5353" w:hanging="240"/>
      </w:pPr>
      <w:rPr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6331" w:hanging="240"/>
      </w:pPr>
      <w:rPr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7310" w:hanging="240"/>
      </w:pPr>
      <w:rPr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8289" w:hanging="240"/>
      </w:pPr>
      <w:rPr>
        <w:lang w:val="ru-RU" w:eastAsia="en-US" w:bidi="ar-SA"/>
      </w:r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  <w:lvlOverride w:ilvl="0">
      <w:startOverride w:val="1"/>
    </w:lvlOverride>
  </w:num>
  <w:num w:numId="3">
    <w:abstractNumId w:val="0"/>
  </w:num>
  <w:num w:numId="4">
    <w:abstractNumId w:val="3"/>
  </w:num>
  <w:num w:numId="5">
    <w:abstractNumId w:val="5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5">
    <w:name w:val="Heading 1 Char"/>
    <w:basedOn w:val="689"/>
    <w:link w:val="685"/>
    <w:uiPriority w:val="9"/>
    <w:rPr>
      <w:rFonts w:ascii="Liberation Sans" w:hAnsi="Liberation Sans" w:eastAsia="Liberation Sans" w:cs="Liberation Sans"/>
      <w:sz w:val="40"/>
      <w:szCs w:val="40"/>
    </w:rPr>
  </w:style>
  <w:style w:type="character" w:styleId="17">
    <w:name w:val="Heading 2 Char"/>
    <w:basedOn w:val="689"/>
    <w:link w:val="686"/>
    <w:uiPriority w:val="9"/>
    <w:rPr>
      <w:rFonts w:ascii="Liberation Sans" w:hAnsi="Liberation Sans" w:eastAsia="Liberation Sans" w:cs="Liberation Sans"/>
      <w:sz w:val="34"/>
    </w:rPr>
  </w:style>
  <w:style w:type="character" w:styleId="19">
    <w:name w:val="Heading 3 Char"/>
    <w:basedOn w:val="689"/>
    <w:link w:val="687"/>
    <w:uiPriority w:val="9"/>
    <w:rPr>
      <w:rFonts w:ascii="Liberation Sans" w:hAnsi="Liberation Sans" w:eastAsia="Liberation Sans" w:cs="Liberation Sans"/>
      <w:sz w:val="30"/>
      <w:szCs w:val="30"/>
    </w:rPr>
  </w:style>
  <w:style w:type="character" w:styleId="21">
    <w:name w:val="Heading 4 Char"/>
    <w:basedOn w:val="689"/>
    <w:link w:val="688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22">
    <w:name w:val="Heading 5"/>
    <w:basedOn w:val="684"/>
    <w:next w:val="684"/>
    <w:link w:val="23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23">
    <w:name w:val="Heading 5 Char"/>
    <w:basedOn w:val="689"/>
    <w:link w:val="22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24">
    <w:name w:val="Heading 6"/>
    <w:basedOn w:val="684"/>
    <w:next w:val="684"/>
    <w:link w:val="25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25">
    <w:name w:val="Heading 6 Char"/>
    <w:basedOn w:val="689"/>
    <w:link w:val="24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26">
    <w:name w:val="Heading 7"/>
    <w:basedOn w:val="684"/>
    <w:next w:val="684"/>
    <w:link w:val="27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27">
    <w:name w:val="Heading 7 Char"/>
    <w:basedOn w:val="689"/>
    <w:link w:val="26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28">
    <w:name w:val="Heading 8"/>
    <w:basedOn w:val="684"/>
    <w:next w:val="684"/>
    <w:link w:val="29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29">
    <w:name w:val="Heading 8 Char"/>
    <w:basedOn w:val="689"/>
    <w:link w:val="28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30">
    <w:name w:val="Heading 9"/>
    <w:basedOn w:val="684"/>
    <w:next w:val="684"/>
    <w:link w:val="31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31">
    <w:name w:val="Heading 9 Char"/>
    <w:basedOn w:val="689"/>
    <w:link w:val="30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34">
    <w:name w:val="No Spacing"/>
    <w:uiPriority w:val="1"/>
    <w:qFormat/>
    <w:pPr>
      <w:spacing w:before="0" w:after="0" w:line="240" w:lineRule="auto"/>
    </w:pPr>
  </w:style>
  <w:style w:type="paragraph" w:styleId="35">
    <w:name w:val="Title"/>
    <w:basedOn w:val="684"/>
    <w:next w:val="684"/>
    <w:link w:val="3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6">
    <w:name w:val="Title Char"/>
    <w:basedOn w:val="689"/>
    <w:link w:val="35"/>
    <w:uiPriority w:val="10"/>
    <w:rPr>
      <w:sz w:val="48"/>
      <w:szCs w:val="48"/>
    </w:rPr>
  </w:style>
  <w:style w:type="paragraph" w:styleId="37">
    <w:name w:val="Subtitle"/>
    <w:basedOn w:val="684"/>
    <w:next w:val="684"/>
    <w:link w:val="38"/>
    <w:uiPriority w:val="11"/>
    <w:qFormat/>
    <w:pPr>
      <w:spacing w:before="200" w:after="200"/>
    </w:pPr>
    <w:rPr>
      <w:sz w:val="24"/>
      <w:szCs w:val="24"/>
    </w:rPr>
  </w:style>
  <w:style w:type="character" w:styleId="38">
    <w:name w:val="Subtitle Char"/>
    <w:basedOn w:val="689"/>
    <w:link w:val="37"/>
    <w:uiPriority w:val="11"/>
    <w:rPr>
      <w:sz w:val="24"/>
      <w:szCs w:val="24"/>
    </w:rPr>
  </w:style>
  <w:style w:type="paragraph" w:styleId="39">
    <w:name w:val="Quote"/>
    <w:basedOn w:val="684"/>
    <w:next w:val="684"/>
    <w:link w:val="40"/>
    <w:uiPriority w:val="29"/>
    <w:qFormat/>
    <w:pPr>
      <w:ind w:left="720" w:right="720"/>
    </w:pPr>
    <w:rPr>
      <w:i/>
    </w:rPr>
  </w:style>
  <w:style w:type="character" w:styleId="40">
    <w:name w:val="Quote Char"/>
    <w:link w:val="39"/>
    <w:uiPriority w:val="29"/>
    <w:rPr>
      <w:i/>
    </w:rPr>
  </w:style>
  <w:style w:type="paragraph" w:styleId="41">
    <w:name w:val="Intense Quote"/>
    <w:basedOn w:val="684"/>
    <w:next w:val="684"/>
    <w:link w:val="4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2">
    <w:name w:val="Intense Quote Char"/>
    <w:link w:val="41"/>
    <w:uiPriority w:val="30"/>
    <w:rPr>
      <w:i/>
    </w:rPr>
  </w:style>
  <w:style w:type="paragraph" w:styleId="43">
    <w:name w:val="Header"/>
    <w:basedOn w:val="684"/>
    <w:link w:val="4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4">
    <w:name w:val="Header Char"/>
    <w:basedOn w:val="689"/>
    <w:link w:val="43"/>
    <w:uiPriority w:val="99"/>
  </w:style>
  <w:style w:type="character" w:styleId="46">
    <w:name w:val="Footer Char"/>
    <w:basedOn w:val="689"/>
    <w:link w:val="702"/>
    <w:uiPriority w:val="99"/>
  </w:style>
  <w:style w:type="paragraph" w:styleId="47">
    <w:name w:val="Caption"/>
    <w:basedOn w:val="684"/>
    <w:next w:val="684"/>
    <w:link w:val="4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8">
    <w:name w:val="Caption Char"/>
    <w:basedOn w:val="689"/>
    <w:link w:val="47"/>
    <w:uiPriority w:val="35"/>
    <w:rPr>
      <w:b/>
      <w:bCs/>
      <w:color w:val="4f81bd" w:themeColor="accent1"/>
      <w:sz w:val="18"/>
      <w:szCs w:val="18"/>
    </w:rPr>
  </w:style>
  <w:style w:type="table" w:styleId="50">
    <w:name w:val="Table Grid Light"/>
    <w:basedOn w:val="69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1">
    <w:name w:val="Plain Table 1"/>
    <w:basedOn w:val="69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2">
    <w:name w:val="Plain Table 2"/>
    <w:basedOn w:val="690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3">
    <w:name w:val="Plain Table 3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4">
    <w:name w:val="Plain Table 4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Plain Table 5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6">
    <w:name w:val="Grid Table 1 Light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1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2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3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4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5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1 Light - Accent 6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3">
    <w:name w:val="Grid Table 2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1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2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3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4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5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2 - Accent 6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1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2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3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4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5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3 - Accent 6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">
    <w:name w:val="Grid Table 4"/>
    <w:basedOn w:val="69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8">
    <w:name w:val="Grid Table 4 - Accent 1"/>
    <w:basedOn w:val="69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37fc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9">
    <w:name w:val="Grid Table 4 - Accent 2"/>
    <w:basedOn w:val="69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0">
    <w:name w:val="Grid Table 4 - Accent 3"/>
    <w:basedOn w:val="69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1">
    <w:name w:val="Grid Table 4 - Accent 4"/>
    <w:basedOn w:val="69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2">
    <w:name w:val="Grid Table 4 - Accent 5"/>
    <w:basedOn w:val="69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3">
    <w:name w:val="Grid Table 4 - Accent 6"/>
    <w:basedOn w:val="69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4">
    <w:name w:val="Grid Table 5 Dark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5">
    <w:name w:val="Grid Table 5 Dark- Accent 1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2" w:themeFill="accent1" w:themeFillTint="34"/>
    </w:tblPr>
    <w:tblStylePr w:type="band1Horz">
      <w:tcPr>
        <w:shd w:val="clear" w:color="ffffff" w:themeColor="accent1" w:themeTint="75" w:fill="aabfe3" w:themeFill="accent1" w:themeFillTint="75"/>
      </w:tcPr>
    </w:tblStylePr>
    <w:tblStylePr w:type="band1Vert">
      <w:tcPr>
        <w:shd w:val="clear" w:color="ffffff" w:themeColor="accent1" w:themeTint="75" w:fill="aabfe3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2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3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8">
    <w:name w:val="Grid Table 5 Dark- Accent 4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5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debf6" w:themeFill="accent5" w:themeFillTint="34"/>
    </w:tblPr>
    <w:tblStylePr w:type="band1Horz">
      <w:tcPr>
        <w:shd w:val="clear" w:color="ffffff" w:themeColor="accent5" w:themeTint="75" w:fill="b4d2eb" w:themeFill="accent5" w:themeFillTint="75"/>
      </w:tcPr>
    </w:tblStylePr>
    <w:tblStylePr w:type="band1Vert">
      <w:tcPr>
        <w:shd w:val="clear" w:color="ffffff" w:themeColor="accent5" w:themeTint="75" w:fill="b4d2eb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</w:style>
  <w:style w:type="table" w:styleId="90">
    <w:name w:val="Grid Table 5 Dark - Accent 6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1">
    <w:name w:val="Grid Table 6 Colorful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92">
    <w:name w:val="Grid Table 6 Colorful - Accent 1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664a9" w:themeColor="accent1" w:themeTint="80" w:themeShade="95"/>
      </w:rPr>
    </w:tblStylePr>
    <w:tblStylePr w:type="firstRow">
      <w:rPr>
        <w:b/>
        <w:color w:val="3664a9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664a9" w:themeColor="accent1" w:themeTint="80" w:themeShade="95"/>
      </w:rPr>
    </w:tblStylePr>
    <w:tblStylePr w:type="lastRow">
      <w:rPr>
        <w:b/>
        <w:color w:val="3664a9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93">
    <w:name w:val="Grid Table 6 Colorful - Accent 2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94">
    <w:name w:val="Grid Table 6 Colorful - Accent 3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95">
    <w:name w:val="Grid Table 6 Colorful - Accent 4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96">
    <w:name w:val="Grid Table 6 Colorful - Accent 5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7">
    <w:name w:val="Grid Table 6 Colorful - Accent 6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8">
    <w:name w:val="Grid Table 7 Colorful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1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664a9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Liberation Sans" w:hAnsi="Liberation Sans"/>
        <w:color w:val="3664a9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664a9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664a9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2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3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606060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4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5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45d8d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Liberation Sans" w:hAnsi="Liberation Sans"/>
        <w:color w:val="245d8d" w:themeColor="accent5" w:themeShade="95"/>
        <w:sz w:val="22"/>
      </w:rPr>
    </w:tblStylePr>
    <w:tblStylePr w:type="firstCol">
      <w:rPr>
        <w:rFonts w:ascii="Liberation Sans" w:hAnsi="Liberation Sans"/>
        <w:i/>
        <w:color w:val="245d8d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45d8d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4">
    <w:name w:val="Grid Table 7 Colorful - Accent 6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26429" w:themeColor="accent6" w:themeShade="95"/>
        <w:sz w:val="22"/>
      </w:rPr>
    </w:tblStylePr>
    <w:tblStylePr w:type="firstCol">
      <w:rPr>
        <w:rFonts w:ascii="Liberation Sans" w:hAnsi="Liberation Sans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5">
    <w:name w:val="List Table 1 Light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1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2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3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4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5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1 Light - Accent 6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2">
    <w:name w:val="List Table 2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3">
    <w:name w:val="List Table 2 - Accent 1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4">
    <w:name w:val="List Table 2 - Accent 2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5">
    <w:name w:val="List Table 2 - Accent 3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6">
    <w:name w:val="List Table 2 - Accent 4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7">
    <w:name w:val="List Table 2 - Accent 5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8">
    <w:name w:val="List Table 2 - Accent 6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9">
    <w:name w:val="List Table 3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1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2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3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4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5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cc4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3 - Accent 6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1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2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3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4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5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4 - Accent 6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3">
    <w:name w:val="List Table 5 Dark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4">
    <w:name w:val="List Table 5 Dark - Accent 1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blStylePr w:type="band1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5">
    <w:name w:val="List Table 5 Dark - Accent 2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6">
    <w:name w:val="List Table 5 Dark - Accent 3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7">
    <w:name w:val="List Table 5 Dark - Accent 4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8">
    <w:name w:val="List Table 5 Dark - Accent 5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4e5" w:themeFill="accent5" w:themeFillTint="9A"/>
    </w:tblPr>
    <w:tblStylePr w:type="band1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cc4e5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cc4e5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9">
    <w:name w:val="List Table 5 Dark - Accent 6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40">
    <w:name w:val="List Table 6 Colorful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1">
    <w:name w:val="List Table 6 Colorful - Accent 1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54374" w:themeColor="accent1" w:themeShade="95"/>
      </w:rPr>
    </w:tblStylePr>
    <w:tblStylePr w:type="firstRow">
      <w:rPr>
        <w:b/>
        <w:color w:val="254374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374" w:themeColor="accent1" w:themeShade="95"/>
      </w:rPr>
    </w:tblStylePr>
    <w:tblStylePr w:type="lastRow">
      <w:rPr>
        <w:b/>
        <w:color w:val="254374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2">
    <w:name w:val="List Table 6 Colorful - Accent 2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3">
    <w:name w:val="List Table 6 Colorful - Accent 3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4">
    <w:name w:val="List Table 6 Colorful - Accent 4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5">
    <w:name w:val="List Table 6 Colorful - Accent 5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2e78b1" w:themeColor="accent5" w:themeTint="9A" w:themeShade="95"/>
      </w:rPr>
    </w:tblStylePr>
    <w:tblStylePr w:type="firstRow">
      <w:rPr>
        <w:b/>
        <w:color w:val="2e78b1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e78b1" w:themeColor="accent5" w:themeTint="9A" w:themeShade="95"/>
      </w:rPr>
    </w:tblStylePr>
    <w:tblStylePr w:type="lastRow">
      <w:rPr>
        <w:b/>
        <w:color w:val="2e78b1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6">
    <w:name w:val="List Table 6 Colorful - Accent 6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7">
    <w:name w:val="List Table 7 Colorful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148">
    <w:name w:val="List Table 7 Colorful - Accent 1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54374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Liberation Sans" w:hAnsi="Liberation Sans"/>
        <w:color w:val="254374" w:themeColor="accent1" w:themeShade="95"/>
        <w:sz w:val="22"/>
      </w:rPr>
    </w:tblStylePr>
    <w:tblStylePr w:type="firstCol">
      <w:rPr>
        <w:rFonts w:ascii="Liberation Sans" w:hAnsi="Liberation Sans"/>
        <w:i/>
        <w:color w:val="254374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54374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254374" w:themeColor="accent1" w:themeShade="95"/>
        <w:sz w:val="22"/>
      </w:rPr>
    </w:tblStylePr>
  </w:style>
  <w:style w:type="table" w:styleId="149">
    <w:name w:val="List Table 7 Colorful - Accent 2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c95712" w:themeColor="accent2" w:themeTint="97" w:themeShade="95"/>
        <w:sz w:val="22"/>
      </w:rPr>
    </w:tblStylePr>
  </w:style>
  <w:style w:type="table" w:styleId="150">
    <w:name w:val="List Table 7 Colorful - Accent 3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757575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757575" w:themeColor="accent3" w:themeTint="98" w:themeShade="95"/>
        <w:sz w:val="22"/>
      </w:rPr>
    </w:tblStylePr>
  </w:style>
  <w:style w:type="table" w:styleId="151">
    <w:name w:val="List Table 7 Colorful - Accent 4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cd9600" w:themeColor="accent4" w:themeTint="9A" w:themeShade="95"/>
        <w:sz w:val="22"/>
      </w:rPr>
    </w:tblStylePr>
  </w:style>
  <w:style w:type="table" w:styleId="152">
    <w:name w:val="List Table 7 Colorful - Accent 5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2e78b1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Liberation Sans" w:hAnsi="Liberation Sans"/>
        <w:color w:val="2e78b1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2e78b1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e78b1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2e78b1" w:themeColor="accent5" w:themeTint="9A" w:themeShade="95"/>
        <w:sz w:val="22"/>
      </w:rPr>
    </w:tblStylePr>
  </w:style>
  <w:style w:type="table" w:styleId="153">
    <w:name w:val="List Table 7 Colorful - Accent 6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5f8f3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5f8f3c" w:themeColor="accent6" w:themeTint="98" w:themeShade="95"/>
        <w:sz w:val="22"/>
      </w:rPr>
    </w:tblStylePr>
  </w:style>
  <w:style w:type="table" w:styleId="154">
    <w:name w:val="Lined - Accent"/>
    <w:basedOn w:val="69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5">
    <w:name w:val="Lined - Accent 1"/>
    <w:basedOn w:val="69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56">
    <w:name w:val="Lined - Accent 2"/>
    <w:basedOn w:val="69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7">
    <w:name w:val="Lined - Accent 3"/>
    <w:basedOn w:val="69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8">
    <w:name w:val="Lined - Accent 4"/>
    <w:basedOn w:val="69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9">
    <w:name w:val="Lined - Accent 5"/>
    <w:basedOn w:val="69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60">
    <w:name w:val="Lined - Accent 6"/>
    <w:basedOn w:val="69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1">
    <w:name w:val="Bordered &amp; Lined - Accent"/>
    <w:basedOn w:val="69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2">
    <w:name w:val="Bordered &amp; Lined - Accent 1"/>
    <w:basedOn w:val="69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63">
    <w:name w:val="Bordered &amp; Lined - Accent 2"/>
    <w:basedOn w:val="69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4">
    <w:name w:val="Bordered &amp; Lined - Accent 3"/>
    <w:basedOn w:val="69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5">
    <w:name w:val="Bordered &amp; Lined - Accent 4"/>
    <w:basedOn w:val="69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6">
    <w:name w:val="Bordered &amp; Lined - Accent 5"/>
    <w:basedOn w:val="69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67">
    <w:name w:val="Bordered &amp; Lined - Accent 6"/>
    <w:basedOn w:val="69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8">
    <w:name w:val="Bordered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9">
    <w:name w:val="Bordered - Accent 1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70">
    <w:name w:val="Bordered - Accent 2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1">
    <w:name w:val="Bordered - Accent 3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2">
    <w:name w:val="Bordered - Accent 4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3">
    <w:name w:val="Bordered - Accent 5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4">
    <w:name w:val="Bordered - Accent 6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176">
    <w:name w:val="footnote text"/>
    <w:basedOn w:val="684"/>
    <w:link w:val="177"/>
    <w:uiPriority w:val="99"/>
    <w:semiHidden/>
    <w:unhideWhenUsed/>
    <w:pPr>
      <w:spacing w:after="40" w:line="240" w:lineRule="auto"/>
    </w:pPr>
    <w:rPr>
      <w:sz w:val="18"/>
    </w:rPr>
  </w:style>
  <w:style w:type="character" w:styleId="177">
    <w:name w:val="Footnote Text Char"/>
    <w:link w:val="176"/>
    <w:uiPriority w:val="99"/>
    <w:rPr>
      <w:sz w:val="18"/>
    </w:rPr>
  </w:style>
  <w:style w:type="character" w:styleId="178">
    <w:name w:val="footnote reference"/>
    <w:basedOn w:val="689"/>
    <w:uiPriority w:val="99"/>
    <w:unhideWhenUsed/>
    <w:rPr>
      <w:vertAlign w:val="superscript"/>
    </w:rPr>
  </w:style>
  <w:style w:type="paragraph" w:styleId="179">
    <w:name w:val="endnote text"/>
    <w:basedOn w:val="684"/>
    <w:link w:val="180"/>
    <w:uiPriority w:val="99"/>
    <w:semiHidden/>
    <w:unhideWhenUsed/>
    <w:pPr>
      <w:spacing w:after="0" w:line="240" w:lineRule="auto"/>
    </w:pPr>
    <w:rPr>
      <w:sz w:val="20"/>
    </w:rPr>
  </w:style>
  <w:style w:type="character" w:styleId="180">
    <w:name w:val="Endnote Text Char"/>
    <w:link w:val="179"/>
    <w:uiPriority w:val="99"/>
    <w:rPr>
      <w:sz w:val="20"/>
    </w:rPr>
  </w:style>
  <w:style w:type="character" w:styleId="181">
    <w:name w:val="endnote reference"/>
    <w:basedOn w:val="689"/>
    <w:uiPriority w:val="99"/>
    <w:semiHidden/>
    <w:unhideWhenUsed/>
    <w:rPr>
      <w:vertAlign w:val="superscript"/>
    </w:rPr>
  </w:style>
  <w:style w:type="paragraph" w:styleId="182">
    <w:name w:val="toc 1"/>
    <w:basedOn w:val="684"/>
    <w:next w:val="684"/>
    <w:uiPriority w:val="39"/>
    <w:unhideWhenUsed/>
    <w:pPr>
      <w:ind w:left="0" w:right="0" w:firstLine="0"/>
      <w:spacing w:after="57"/>
    </w:pPr>
  </w:style>
  <w:style w:type="paragraph" w:styleId="183">
    <w:name w:val="toc 2"/>
    <w:basedOn w:val="684"/>
    <w:next w:val="684"/>
    <w:uiPriority w:val="39"/>
    <w:unhideWhenUsed/>
    <w:pPr>
      <w:ind w:left="283" w:right="0" w:firstLine="0"/>
      <w:spacing w:after="57"/>
    </w:pPr>
  </w:style>
  <w:style w:type="paragraph" w:styleId="184">
    <w:name w:val="toc 3"/>
    <w:basedOn w:val="684"/>
    <w:next w:val="684"/>
    <w:uiPriority w:val="39"/>
    <w:unhideWhenUsed/>
    <w:pPr>
      <w:ind w:left="567" w:right="0" w:firstLine="0"/>
      <w:spacing w:after="57"/>
    </w:pPr>
  </w:style>
  <w:style w:type="paragraph" w:styleId="185">
    <w:name w:val="toc 4"/>
    <w:basedOn w:val="684"/>
    <w:next w:val="684"/>
    <w:uiPriority w:val="39"/>
    <w:unhideWhenUsed/>
    <w:pPr>
      <w:ind w:left="850" w:right="0" w:firstLine="0"/>
      <w:spacing w:after="57"/>
    </w:pPr>
  </w:style>
  <w:style w:type="paragraph" w:styleId="186">
    <w:name w:val="toc 5"/>
    <w:basedOn w:val="684"/>
    <w:next w:val="684"/>
    <w:uiPriority w:val="39"/>
    <w:unhideWhenUsed/>
    <w:pPr>
      <w:ind w:left="1134" w:right="0" w:firstLine="0"/>
      <w:spacing w:after="57"/>
    </w:pPr>
  </w:style>
  <w:style w:type="paragraph" w:styleId="187">
    <w:name w:val="toc 6"/>
    <w:basedOn w:val="684"/>
    <w:next w:val="684"/>
    <w:uiPriority w:val="39"/>
    <w:unhideWhenUsed/>
    <w:pPr>
      <w:ind w:left="1417" w:right="0" w:firstLine="0"/>
      <w:spacing w:after="57"/>
    </w:pPr>
  </w:style>
  <w:style w:type="paragraph" w:styleId="188">
    <w:name w:val="toc 7"/>
    <w:basedOn w:val="684"/>
    <w:next w:val="684"/>
    <w:uiPriority w:val="39"/>
    <w:unhideWhenUsed/>
    <w:pPr>
      <w:ind w:left="1701" w:right="0" w:firstLine="0"/>
      <w:spacing w:after="57"/>
    </w:pPr>
  </w:style>
  <w:style w:type="paragraph" w:styleId="189">
    <w:name w:val="toc 8"/>
    <w:basedOn w:val="684"/>
    <w:next w:val="684"/>
    <w:uiPriority w:val="39"/>
    <w:unhideWhenUsed/>
    <w:pPr>
      <w:ind w:left="1984" w:right="0" w:firstLine="0"/>
      <w:spacing w:after="57"/>
    </w:pPr>
  </w:style>
  <w:style w:type="paragraph" w:styleId="190">
    <w:name w:val="toc 9"/>
    <w:basedOn w:val="684"/>
    <w:next w:val="684"/>
    <w:uiPriority w:val="39"/>
    <w:unhideWhenUsed/>
    <w:pPr>
      <w:ind w:left="2268" w:right="0" w:firstLine="0"/>
      <w:spacing w:after="57"/>
    </w:pPr>
  </w:style>
  <w:style w:type="paragraph" w:styleId="191">
    <w:name w:val="TOC Heading"/>
    <w:uiPriority w:val="39"/>
    <w:unhideWhenUsed/>
  </w:style>
  <w:style w:type="paragraph" w:styleId="192">
    <w:name w:val="table of figures"/>
    <w:basedOn w:val="684"/>
    <w:next w:val="684"/>
    <w:uiPriority w:val="99"/>
    <w:unhideWhenUsed/>
    <w:pPr>
      <w:spacing w:after="0" w:afterAutospacing="0"/>
    </w:pPr>
  </w:style>
  <w:style w:type="paragraph" w:styleId="684" w:default="1">
    <w:name w:val="Normal"/>
    <w:qFormat/>
    <w:rPr>
      <w:sz w:val="24"/>
      <w:szCs w:val="24"/>
    </w:rPr>
  </w:style>
  <w:style w:type="paragraph" w:styleId="685">
    <w:name w:val="Heading 1"/>
    <w:basedOn w:val="684"/>
    <w:link w:val="692"/>
    <w:uiPriority w:val="9"/>
    <w:qFormat/>
    <w:pPr>
      <w:spacing w:before="100" w:beforeAutospacing="1" w:after="100" w:afterAutospacing="1"/>
      <w:outlineLvl w:val="0"/>
    </w:pPr>
    <w:rPr>
      <w:sz w:val="53"/>
      <w:szCs w:val="53"/>
    </w:rPr>
  </w:style>
  <w:style w:type="paragraph" w:styleId="686">
    <w:name w:val="Heading 2"/>
    <w:basedOn w:val="684"/>
    <w:link w:val="693"/>
    <w:uiPriority w:val="9"/>
    <w:qFormat/>
    <w:pPr>
      <w:spacing w:before="100" w:beforeAutospacing="1" w:after="100" w:afterAutospacing="1"/>
      <w:outlineLvl w:val="1"/>
    </w:pPr>
    <w:rPr>
      <w:sz w:val="43"/>
      <w:szCs w:val="43"/>
    </w:rPr>
  </w:style>
  <w:style w:type="paragraph" w:styleId="687">
    <w:name w:val="Heading 3"/>
    <w:basedOn w:val="684"/>
    <w:link w:val="694"/>
    <w:uiPriority w:val="9"/>
    <w:qFormat/>
    <w:pPr>
      <w:spacing w:before="100" w:beforeAutospacing="1" w:after="100" w:afterAutospacing="1"/>
      <w:outlineLvl w:val="2"/>
    </w:pPr>
    <w:rPr>
      <w:sz w:val="38"/>
      <w:szCs w:val="38"/>
    </w:rPr>
  </w:style>
  <w:style w:type="paragraph" w:styleId="688">
    <w:name w:val="Heading 4"/>
    <w:basedOn w:val="684"/>
    <w:link w:val="695"/>
    <w:uiPriority w:val="9"/>
    <w:qFormat/>
    <w:pPr>
      <w:spacing w:before="100" w:beforeAutospacing="1" w:after="100" w:afterAutospacing="1"/>
      <w:outlineLvl w:val="3"/>
    </w:pPr>
    <w:rPr>
      <w:b/>
      <w:bCs/>
      <w:sz w:val="29"/>
      <w:szCs w:val="29"/>
    </w:rPr>
  </w:style>
  <w:style w:type="character" w:styleId="689" w:default="1">
    <w:name w:val="Default Paragraph Font"/>
    <w:uiPriority w:val="1"/>
    <w:semiHidden/>
    <w:unhideWhenUsed/>
  </w:style>
  <w:style w:type="table" w:styleId="690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91" w:default="1">
    <w:name w:val="No List"/>
    <w:uiPriority w:val="99"/>
    <w:semiHidden/>
    <w:unhideWhenUsed/>
  </w:style>
  <w:style w:type="character" w:styleId="692" w:customStyle="1">
    <w:name w:val="Заголовок 1 Знак"/>
    <w:link w:val="685"/>
    <w:uiPriority w:val="9"/>
    <w:rPr>
      <w:rFonts w:ascii="Calibri Light" w:hAnsi="Calibri Light" w:eastAsia="Times New Roman" w:cs="Times New Roman"/>
      <w:color w:val="2f5496"/>
      <w:sz w:val="32"/>
      <w:szCs w:val="32"/>
    </w:rPr>
  </w:style>
  <w:style w:type="character" w:styleId="693" w:customStyle="1">
    <w:name w:val="Заголовок 2 Знак"/>
    <w:link w:val="686"/>
    <w:uiPriority w:val="9"/>
    <w:semiHidden/>
    <w:rPr>
      <w:rFonts w:ascii="Calibri Light" w:hAnsi="Calibri Light" w:eastAsia="Times New Roman" w:cs="Times New Roman"/>
      <w:color w:val="2f5496"/>
      <w:sz w:val="26"/>
      <w:szCs w:val="26"/>
    </w:rPr>
  </w:style>
  <w:style w:type="character" w:styleId="694" w:customStyle="1">
    <w:name w:val="Заголовок 3 Знак"/>
    <w:link w:val="687"/>
    <w:uiPriority w:val="9"/>
    <w:semiHidden/>
    <w:rPr>
      <w:rFonts w:ascii="Calibri Light" w:hAnsi="Calibri Light" w:eastAsia="Times New Roman" w:cs="Times New Roman"/>
      <w:color w:val="1f3763"/>
      <w:sz w:val="24"/>
      <w:szCs w:val="24"/>
    </w:rPr>
  </w:style>
  <w:style w:type="character" w:styleId="695" w:customStyle="1">
    <w:name w:val="Заголовок 4 Знак"/>
    <w:link w:val="688"/>
    <w:uiPriority w:val="9"/>
    <w:semiHidden/>
    <w:rPr>
      <w:rFonts w:ascii="Calibri Light" w:hAnsi="Calibri Light" w:eastAsia="Times New Roman" w:cs="Times New Roman"/>
      <w:i/>
      <w:iCs/>
      <w:color w:val="2f5496"/>
      <w:sz w:val="24"/>
      <w:szCs w:val="24"/>
    </w:rPr>
  </w:style>
  <w:style w:type="paragraph" w:styleId="696" w:customStyle="1">
    <w:name w:val="msonormal"/>
    <w:basedOn w:val="684"/>
    <w:pPr>
      <w:spacing w:before="120" w:after="120"/>
    </w:pPr>
  </w:style>
  <w:style w:type="paragraph" w:styleId="697">
    <w:name w:val="Normal (Web)"/>
    <w:basedOn w:val="684"/>
    <w:uiPriority w:val="99"/>
    <w:unhideWhenUsed/>
    <w:pPr>
      <w:spacing w:before="120" w:after="120"/>
    </w:pPr>
  </w:style>
  <w:style w:type="paragraph" w:styleId="698" w:customStyle="1">
    <w:name w:val="indent"/>
    <w:basedOn w:val="684"/>
    <w:pPr>
      <w:ind w:firstLine="708"/>
      <w:jc w:val="both"/>
      <w:spacing w:before="120" w:after="120"/>
    </w:pPr>
  </w:style>
  <w:style w:type="paragraph" w:styleId="699" w:customStyle="1">
    <w:name w:val="indnomrg"/>
    <w:basedOn w:val="684"/>
    <w:pPr>
      <w:ind w:firstLine="708"/>
      <w:jc w:val="both"/>
    </w:pPr>
  </w:style>
  <w:style w:type="paragraph" w:styleId="700" w:customStyle="1">
    <w:name w:val="nomrg"/>
    <w:basedOn w:val="684"/>
    <w:pPr>
      <w:jc w:val="both"/>
    </w:pPr>
  </w:style>
  <w:style w:type="paragraph" w:styleId="701" w:customStyle="1">
    <w:name w:val="zagolovok6"/>
    <w:qFormat/>
    <w:rPr>
      <w:sz w:val="24"/>
      <w:szCs w:val="24"/>
    </w:rPr>
  </w:style>
  <w:style w:type="paragraph" w:styleId="702">
    <w:name w:val="Footer"/>
    <w:basedOn w:val="684"/>
    <w:link w:val="703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703" w:customStyle="1">
    <w:name w:val="Нижний колонтитул Знак"/>
    <w:link w:val="702"/>
    <w:uiPriority w:val="99"/>
    <w:rPr>
      <w:rFonts w:eastAsia="Times New Roman"/>
      <w:sz w:val="24"/>
      <w:szCs w:val="24"/>
    </w:rPr>
  </w:style>
  <w:style w:type="paragraph" w:styleId="704">
    <w:name w:val="Body Text"/>
    <w:basedOn w:val="684"/>
    <w:link w:val="705"/>
    <w:uiPriority w:val="1"/>
    <w:semiHidden/>
    <w:unhideWhenUsed/>
    <w:qFormat/>
    <w:pPr>
      <w:widowControl w:val="off"/>
    </w:pPr>
    <w:rPr>
      <w:lang w:eastAsia="en-US"/>
    </w:rPr>
  </w:style>
  <w:style w:type="character" w:styleId="705" w:customStyle="1">
    <w:name w:val="Основной текст Знак"/>
    <w:link w:val="704"/>
    <w:uiPriority w:val="1"/>
    <w:semiHidden/>
    <w:rPr>
      <w:sz w:val="24"/>
      <w:szCs w:val="24"/>
      <w:lang w:eastAsia="en-US"/>
    </w:rPr>
  </w:style>
  <w:style w:type="paragraph" w:styleId="706">
    <w:name w:val="List Paragraph"/>
    <w:basedOn w:val="684"/>
    <w:uiPriority w:val="1"/>
    <w:qFormat/>
    <w:pPr>
      <w:ind w:left="452" w:hanging="242"/>
      <w:widowControl w:val="off"/>
    </w:pPr>
    <w:rPr>
      <w:sz w:val="22"/>
      <w:szCs w:val="22"/>
      <w:lang w:eastAsia="en-US"/>
    </w:rPr>
  </w:style>
  <w:style w:type="character" w:styleId="707">
    <w:name w:val="Hyperlink"/>
    <w:uiPriority w:val="99"/>
    <w:unhideWhenUsed/>
    <w:rPr>
      <w:color w:val="0563c1"/>
      <w:u w:val="single"/>
    </w:rPr>
  </w:style>
  <w:style w:type="character" w:styleId="708">
    <w:name w:val="Unresolved Mention"/>
    <w:uiPriority w:val="99"/>
    <w:semiHidden/>
    <w:unhideWhenUsed/>
    <w:rPr>
      <w:color w:val="605e5c"/>
      <w:shd w:val="clear" w:color="auto" w:fill="e1dfdd"/>
    </w:rPr>
  </w:style>
  <w:style w:type="table" w:styleId="709">
    <w:name w:val="Table Grid"/>
    <w:basedOn w:val="690"/>
    <w:uiPriority w:val="3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1_2946" w:customStyle="1">
    <w:name w:val="Обычный (Интернет)"/>
    <w:basedOn w:val="640"/>
    <w:next w:val="653"/>
    <w:link w:val="640"/>
    <w:uiPriority w:val="99"/>
    <w:unhideWhenUsed/>
    <w:pPr>
      <w:contextualSpacing w:val="0"/>
      <w:ind w:left="0" w:right="0" w:firstLine="0"/>
      <w:jc w:val="left"/>
      <w:keepLines w:val="0"/>
      <w:keepNext w:val="0"/>
      <w:pageBreakBefore w:val="0"/>
      <w:spacing w:before="120" w:beforeAutospacing="0" w:after="120" w:afterAutospacing="0" w:line="240" w:lineRule="auto"/>
      <w:shd w:val="nil" w:color="000000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customXml" Target="../customXml/item1.xml" /><Relationship Id="rId11" Type="http://schemas.openxmlformats.org/officeDocument/2006/relationships/hyperlink" Target="https://lk.rosreestr.ru/eservices/real-estate-objects-online?ref=destralegal.ru" TargetMode="External"/><Relationship Id="rId12" Type="http://schemas.openxmlformats.org/officeDocument/2006/relationships/image" Target="media/image1.png"/><Relationship Id="rId13" Type="http://schemas.openxmlformats.org/officeDocument/2006/relationships/image" Target="media/image2.png"/><Relationship Id="rId14" Type="http://schemas.openxmlformats.org/officeDocument/2006/relationships/image" Target="media/image3.png"/><Relationship Id="rId15" Type="http://schemas.openxmlformats.org/officeDocument/2006/relationships/hyperlink" Target="https://www.avito.ru/staryy_oskol/kvartiry/2-k._kvartira_52_m_79_et._3732679690" TargetMode="External"/><Relationship Id="rId16" Type="http://schemas.openxmlformats.org/officeDocument/2006/relationships/hyperlink" Target="https://www.avito.ru/staryy_oskol/kvartiry/2-k._kvartira_526_m_99_et._3950973298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B14432-0D68-495F-B8D5-49A503C2E5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Решение об оценке имущества гражданина</dc:title>
  <dc:subject/>
  <dc:creator>Пользователь</dc:creator>
  <cp:keywords/>
  <dc:description/>
  <cp:lastModifiedBy>alesh</cp:lastModifiedBy>
  <cp:revision>61</cp:revision>
  <dcterms:created xsi:type="dcterms:W3CDTF">2024-10-16T09:43:00Z</dcterms:created>
  <dcterms:modified xsi:type="dcterms:W3CDTF">2026-05-05T14:41:25Z</dcterms:modified>
</cp:coreProperties>
</file>