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pStyle w:val="69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W w:w="4950" w:type="pct"/>
            <w:textDirection w:val="lrTb"/>
            <w:noWrap w:val="false"/>
          </w:tcPr>
          <w:p>
            <w:pPr>
              <w:pStyle w:val="6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Гафуржонова Амиржона Муминжоновича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Косточкина Мария Васильевн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84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тел.: </w:t>
            </w:r>
            <w:r>
              <w:t xml:space="preserve">89600</w:t>
            </w:r>
            <w:r>
              <w:t xml:space="preserve">091050</w:t>
            </w:r>
            <w:r>
              <w:rPr>
                <w:sz w:val="16"/>
                <w:szCs w:val="16"/>
              </w:rPr>
              <w:t xml:space="preserve">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mkostochkina00@mail.r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  <w:lang w:val="en-US"/>
              </w:rPr>
            </w:r>
            <w:r>
              <w:rPr>
                <w:sz w:val="20"/>
                <w:szCs w:val="20"/>
                <w:lang w:val="en-US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 </w:t>
            </w:r>
            <w:r>
              <w:rPr>
                <w:sz w:val="20"/>
                <w:szCs w:val="20"/>
                <w:lang w:val="en-US"/>
              </w:rPr>
            </w:r>
          </w:p>
        </w:tc>
      </w:tr>
    </w:tbl>
    <w:p>
      <w:pPr>
        <w:rPr>
          <w:vanish/>
          <w:sz w:val="20"/>
          <w:szCs w:val="20"/>
          <w:lang w:val="en-US"/>
        </w:rPr>
      </w:pPr>
      <w:r>
        <w:rPr>
          <w:vanish/>
          <w:sz w:val="20"/>
          <w:szCs w:val="20"/>
          <w:lang w:val="en-US"/>
        </w:rPr>
      </w:r>
      <w:r>
        <w:rPr>
          <w:vanish/>
          <w:sz w:val="20"/>
          <w:szCs w:val="20"/>
          <w:lang w:val="en-US"/>
        </w:rPr>
      </w:r>
    </w:p>
    <w:tbl>
      <w:tblPr>
        <w:tblW w:w="5000" w:type="pct"/>
        <w:tblCellSpacing w:w="0" w:type="dxa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</w:t>
            </w:r>
            <w:r>
              <w:rPr>
                <w:sz w:val="20"/>
                <w:szCs w:val="20"/>
              </w:rPr>
              <w:t xml:space="preserve">05.05.2026</w:t>
            </w:r>
            <w:r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Старый Оскол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97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Алтайского края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№А03-3563/2026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07.04.2026</w:t>
            </w:r>
            <w:r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07.04.2026</w:t>
            </w:r>
            <w:r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97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 с ограниченной ответственностью «Страховой Дом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17420/700/25 от 24.06.2025, действителен с 24.06.2</w:t>
            </w:r>
            <w:r>
              <w:rPr>
                <w:sz w:val="20"/>
                <w:szCs w:val="20"/>
              </w:rPr>
              <w:t xml:space="preserve">025 г. по 23.06.2026 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Архангельская область, Архангельск, Воскресенская, 59, 2 этаж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97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Гафуржонов Амиржон Муминжонович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06.11.1992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п.Шайдан Аштский район Ленинабадская обл., Республика Таджикистан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226103906220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177-502-754 86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Алтайский край, г. Барнаул, ул. Попова, д. 108, кв. 72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98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</w:p>
    <w:p>
      <w:pPr>
        <w:pStyle w:val="698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</w:p>
    <w:p>
      <w:pPr>
        <w:pStyle w:val="698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</w:t>
      </w:r>
      <w:r>
        <w:rPr>
          <w:sz w:val="20"/>
          <w:szCs w:val="20"/>
        </w:rPr>
        <w:t xml:space="preserve">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</w:t>
      </w:r>
      <w:r>
        <w:rPr>
          <w:sz w:val="20"/>
          <w:szCs w:val="20"/>
        </w:rPr>
        <w:t xml:space="preserve">отказаться от применения затратного и доходного подхода по причи</w:t>
      </w:r>
      <w:r>
        <w:rPr>
          <w:sz w:val="20"/>
          <w:szCs w:val="20"/>
        </w:rPr>
        <w:t xml:space="preserve">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</w:p>
    <w:p>
      <w:pPr>
        <w:pStyle w:val="698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8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</w:p>
    <w:p>
      <w:pPr>
        <w:pStyle w:val="698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</w:t>
      </w:r>
      <w:r>
        <w:rPr>
          <w:sz w:val="20"/>
          <w:szCs w:val="20"/>
        </w:rPr>
        <w:t xml:space="preserve">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>
        <w:rPr>
          <w:sz w:val="20"/>
        </w:rPr>
        <w:t xml:space="preserve">avito.ru,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cian.ru.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8"/>
        <w:rPr>
          <w:sz w:val="20"/>
          <w:szCs w:val="20"/>
        </w:rPr>
      </w:pPr>
      <w:r>
        <w:rPr>
          <w:sz w:val="20"/>
          <w:szCs w:val="20"/>
        </w:rPr>
        <w:t xml:space="preserve">В резуль</w:t>
      </w:r>
      <w:r>
        <w:rPr>
          <w:sz w:val="20"/>
          <w:szCs w:val="20"/>
        </w:rPr>
        <w:t xml:space="preserve">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</w:t>
      </w:r>
      <w:r>
        <w:rPr>
          <w:sz w:val="20"/>
          <w:szCs w:val="20"/>
        </w:rPr>
        <w:t xml:space="preserve">05.05.2026</w:t>
      </w:r>
      <w:r>
        <w:rPr>
          <w:sz w:val="20"/>
          <w:szCs w:val="20"/>
        </w:rPr>
        <w:t xml:space="preserve"> г.: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559"/>
        <w:gridCol w:w="5335"/>
        <w:gridCol w:w="4012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8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6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0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82" w:type="pct"/>
            <w:vAlign w:val="center"/>
            <w:textDirection w:val="lrTb"/>
            <w:noWrap w:val="false"/>
          </w:tcPr>
          <w:p>
            <w:pPr>
              <w:pStyle w:val="706"/>
              <w:numPr>
                <w:ilvl w:val="0"/>
                <w:numId w:val="7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693" w:type="pct"/>
            <w:vAlign w:val="center"/>
            <w:textDirection w:val="lrTb"/>
            <w:noWrap w:val="false"/>
          </w:tcPr>
          <w:p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Кадастровый номер: 22:61:020801:328</w:t>
            </w:r>
            <w:r/>
          </w:p>
          <w:p>
            <w:r>
              <w:rPr>
                <w:sz w:val="20"/>
                <w:szCs w:val="20"/>
              </w:rPr>
            </w:r>
            <w:r/>
          </w:p>
          <w:p>
            <w:r>
              <w:rPr>
                <w:sz w:val="20"/>
                <w:szCs w:val="20"/>
              </w:rPr>
              <w:t xml:space="preserve">Категория земли: ЗЕМЛИ СЕЛЬСКОХОЗЯЙСТВЕННОГО НАЗНАЧЕНИЯ</w:t>
            </w:r>
            <w:r/>
          </w:p>
          <w:p>
            <w:r>
              <w:rPr>
                <w:sz w:val="20"/>
                <w:szCs w:val="20"/>
              </w:rPr>
            </w:r>
            <w:r/>
          </w:p>
          <w:p>
            <w:r>
              <w:rPr>
                <w:sz w:val="20"/>
                <w:szCs w:val="20"/>
              </w:rPr>
              <w:t xml:space="preserve">Вид разрешенного использования: Для ведения гражданами садоводства и огородничества</w:t>
            </w:r>
            <w:r/>
          </w:p>
          <w:p>
            <w:r>
              <w:rPr>
                <w:sz w:val="20"/>
                <w:szCs w:val="20"/>
              </w:rPr>
            </w:r>
            <w:r/>
          </w:p>
          <w:p>
            <w:r>
              <w:rPr>
                <w:sz w:val="20"/>
                <w:szCs w:val="20"/>
              </w:rPr>
              <w:t xml:space="preserve">Код территории муниципального образования по ОКТМО: 01701000</w:t>
            </w:r>
            <w:r/>
          </w:p>
          <w:p>
            <w:r>
              <w:rPr>
                <w:sz w:val="20"/>
                <w:szCs w:val="20"/>
              </w:rPr>
            </w:r>
            <w:r/>
          </w:p>
          <w:p>
            <w:r>
              <w:rPr>
                <w:sz w:val="20"/>
                <w:szCs w:val="20"/>
              </w:rPr>
              <w:t xml:space="preserve">Адрес места нахождения: Алтайский край, г. Барнаул, СНТ Михайловское, линия 10, 10А</w:t>
            </w:r>
            <w:r/>
          </w:p>
          <w:p>
            <w:r>
              <w:rPr>
                <w:sz w:val="20"/>
                <w:szCs w:val="20"/>
              </w:rPr>
            </w:r>
            <w:r/>
          </w:p>
          <w:p>
            <w:r>
              <w:rPr>
                <w:sz w:val="20"/>
                <w:szCs w:val="20"/>
              </w:rPr>
              <w:t xml:space="preserve">Площадь: 1500 кв. м</w:t>
            </w:r>
            <w:r/>
          </w:p>
          <w:p>
            <w:r>
              <w:rPr>
                <w:sz w:val="20"/>
                <w:szCs w:val="20"/>
              </w:rPr>
            </w:r>
            <w:r/>
          </w:p>
          <w:p>
            <w:r>
              <w:rPr>
                <w:sz w:val="20"/>
                <w:szCs w:val="20"/>
              </w:rPr>
              <w:t xml:space="preserve">Кадастровая стоимость: 102 720 руб.</w:t>
            </w:r>
            <w:r/>
          </w:p>
          <w:p>
            <w:r>
              <w:rPr>
                <w:sz w:val="20"/>
                <w:szCs w:val="20"/>
              </w:rPr>
            </w:r>
            <w:r/>
          </w:p>
          <w:p>
            <w:r>
              <w:rPr>
                <w:sz w:val="20"/>
                <w:szCs w:val="20"/>
              </w:rPr>
              <w:t xml:space="preserve">Дата утверждения кадастровой стоимости: 01.01.2023</w:t>
            </w:r>
            <w:r/>
          </w:p>
          <w:p>
            <w:r>
              <w:rPr>
                <w:sz w:val="20"/>
                <w:szCs w:val="20"/>
              </w:rPr>
            </w:r>
            <w:r/>
          </w:p>
          <w:p>
            <w:r>
              <w:rPr>
                <w:sz w:val="20"/>
                <w:szCs w:val="20"/>
              </w:rPr>
              <w:t xml:space="preserve">Сведения о регистрации права на земельный участок</w:t>
            </w:r>
            <w:r/>
          </w:p>
          <w:p>
            <w:r>
              <w:rPr>
                <w:sz w:val="20"/>
                <w:szCs w:val="20"/>
              </w:rPr>
            </w:r>
            <w:r/>
          </w:p>
          <w:p>
            <w:r>
              <w:rPr>
                <w:sz w:val="20"/>
                <w:szCs w:val="20"/>
              </w:rPr>
              <w:t xml:space="preserve">Вид права: Собственность</w:t>
            </w:r>
            <w:r/>
          </w:p>
          <w:p>
            <w:r>
              <w:rPr>
                <w:sz w:val="20"/>
                <w:szCs w:val="20"/>
              </w:rPr>
            </w:r>
            <w:r/>
          </w:p>
          <w:p>
            <w:r>
              <w:rPr>
                <w:sz w:val="20"/>
                <w:szCs w:val="20"/>
              </w:rPr>
              <w:t xml:space="preserve">Размер доли: 1 (единая / целая)</w:t>
            </w:r>
            <w:r/>
          </w:p>
          <w:p>
            <w:r>
              <w:rPr>
                <w:sz w:val="20"/>
                <w:szCs w:val="20"/>
              </w:rPr>
            </w:r>
            <w:r/>
          </w:p>
          <w:p>
            <w:r>
              <w:rPr>
                <w:sz w:val="20"/>
                <w:szCs w:val="20"/>
              </w:rPr>
              <w:t xml:space="preserve">Дата права: 20.11.2023</w:t>
            </w:r>
            <w:r/>
          </w:p>
          <w:p>
            <w:r>
              <w:rPr>
                <w:sz w:val="20"/>
                <w:szCs w:val="20"/>
              </w:rPr>
            </w:r>
            <w:r/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регистрации права: 22:61:020801:328-22/135/2023-2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102 720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102 720 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98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Кадастровый номер: 22:61:020801:328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Категория земли: ЗЕМЛИ СЕЛЬСКОХОЗЯЙСТВЕННОГО НАЗНАЧЕНИЯ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Вид разрешенного использования: Для ведения гражданами садоводства и огородничества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Код территории муниципального образования по ОКТМО: 01701000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Адрес места нахождения: Алтайский край, г. Барнаул, СНТ Михайловское, линия 10, 10А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Площадь: 1500 кв. м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Кадастровая стоимость: 102 720 руб.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Дата утверждения кадастровой стоимости: 01.01.2023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Сведения о регистрации права на земельный участок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Вид права: Собственность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Размер доли: 1 (единая / целая)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Дата права: 20.11.2023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Номер регистрации права: 22:61:020801:328-22/135/2023-2</w:t>
      </w:r>
      <w:r/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  <w:t xml:space="preserve">Кадастровая стоимость данного объекта, в соответствии с выпиской равна </w:t>
      </w:r>
      <w:r>
        <w:rPr>
          <w:sz w:val="20"/>
          <w:szCs w:val="20"/>
        </w:rPr>
      </w:r>
      <w:r>
        <w:rPr>
          <w:sz w:val="20"/>
          <w:szCs w:val="20"/>
        </w:rPr>
        <w:t xml:space="preserve">102 720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 рублей</w:t>
      </w:r>
      <w:r>
        <w:rPr>
          <w:sz w:val="20"/>
          <w:szCs w:val="20"/>
        </w:rPr>
        <w:t xml:space="preserve">.</w:t>
      </w:r>
      <w:r>
        <w:rPr>
          <w:sz w:val="20"/>
          <w:szCs w:val="20"/>
        </w:rPr>
        <w:t xml:space="preserve"> </w:t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hyperlink r:id="rId11" w:tooltip="https://lk.rosreestr.ru/eservices/real-estate-objects-online?ref=destralegal.ru" w:history="1">
        <w:r>
          <w:rPr>
            <w:rStyle w:val="707"/>
            <w:sz w:val="20"/>
            <w:szCs w:val="20"/>
          </w:rPr>
          <w:t xml:space="preserve">https://lk.rosreestr.ru/eservices/real-estate-objects-online?ref=destralegal.ru</w:t>
        </w:r>
        <w:r>
          <w:rPr>
            <w:rStyle w:val="707"/>
            <w:sz w:val="20"/>
            <w:szCs w:val="20"/>
          </w:rPr>
        </w:r>
      </w:hyperlink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634639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25223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63463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499.72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00475" cy="658177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97732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800475" cy="65817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99.25pt;height:518.2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6309694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0019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63096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96.83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97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18"/>
        <w:gridCol w:w="1522"/>
        <w:gridCol w:w="3882"/>
      </w:tblGrid>
      <w:tr>
        <w:tblPrEx/>
        <w:trPr>
          <w:tblCellSpacing w:w="0" w:type="dxa"/>
        </w:trPr>
        <w:tc>
          <w:tcPr>
            <w:tcW w:w="5250" w:type="dxa"/>
            <w:textDirection w:val="lrTb"/>
            <w:noWrap w:val="false"/>
          </w:tcPr>
          <w:p>
            <w:pPr>
              <w:pStyle w:val="697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управляющий</w:t>
            </w:r>
            <w:r>
              <w:rPr>
                <w:b/>
                <w:bCs/>
                <w:sz w:val="20"/>
                <w:szCs w:val="20"/>
                <w:lang w:val="en-US"/>
              </w:rPr>
              <w:br/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Гафуржонова Амиржона Муминжоновича</w:t>
            </w:r>
            <w:r>
              <w:rPr>
                <w:b/>
                <w:bCs/>
                <w:sz w:val="20"/>
                <w:szCs w:val="20"/>
                <w:lang w:val="en-US"/>
              </w:rPr>
            </w:r>
          </w:p>
        </w:tc>
        <w:tc>
          <w:tcPr>
            <w:tcW w:w="3300" w:type="dxa"/>
            <w:vAlign w:val="center"/>
            <w:textDirection w:val="lrTb"/>
            <w:noWrap w:val="false"/>
          </w:tcPr>
          <w:p>
            <w:pPr>
              <w:pStyle w:val="69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br/>
            </w:r>
            <w:r/>
            <w:r>
              <w:rPr>
                <w:sz w:val="20"/>
                <w:szCs w:val="20"/>
                <w:lang w:val="en-US"/>
              </w:rPr>
            </w:r>
          </w:p>
        </w:tc>
        <w:tc>
          <w:tcPr>
            <w:tcW w:w="3000" w:type="dxa"/>
            <w:textDirection w:val="lrTb"/>
            <w:noWrap w:val="false"/>
          </w:tcPr>
          <w:p>
            <w:pPr>
              <w:ind w:left="212"/>
              <w:jc w:val="right"/>
              <w:tabs>
                <w:tab w:val="left" w:pos="453" w:leader="none"/>
              </w:tabs>
              <w:rPr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  <w:r>
              <w:rPr>
                <w:lang w:val="en-US"/>
              </w:rPr>
            </w:r>
          </w:p>
          <w:p>
            <w:pPr>
              <w:pStyle w:val="69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tbl>
      <w:tblPr>
        <w:tblStyle w:val="709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912"/>
      </w:tblGrid>
      <w:tr>
        <w:tblPrEx/>
        <w:trPr>
          <w:trHeight w:val="10548"/>
        </w:trPr>
        <w:tc>
          <w:tcPr>
            <w:tcW w:w="9912" w:type="dxa"/>
            <w:textDirection w:val="lrTb"/>
            <w:noWrap w:val="false"/>
          </w:tcPr>
          <w:tbl>
            <w:tblPr>
              <w:tblStyle w:val="709"/>
              <w:tblW w:w="0" w:type="auto"/>
              <w:tblLook w:val="04A0" w:firstRow="1" w:lastRow="0" w:firstColumn="1" w:lastColumn="0" w:noHBand="0" w:noVBand="1"/>
            </w:tblPr>
            <w:tblGrid>
              <w:gridCol w:w="9696"/>
            </w:tblGrid>
            <w:tr>
              <w:tblPrEx/>
              <w:trPr>
                <w:trHeight w:val="7616"/>
              </w:trPr>
              <w:tc>
                <w:tcPr>
                  <w:tcBorders>
                    <w:top w:val="none" w:color="000000" w:sz="4" w:space="0"/>
                    <w:left w:val="none" w:color="000000" w:sz="4" w:space="0"/>
                    <w:bottom w:val="none" w:color="000000" w:sz="4" w:space="0"/>
                    <w:right w:val="none" w:color="000000" w:sz="4" w:space="0"/>
                  </w:tcBorders>
                  <w:tcW w:w="9912" w:type="dxa"/>
                  <w:textDirection w:val="lrTb"/>
                  <w:noWrap w:val="false"/>
                </w:tcPr>
                <w:p>
                  <w:pPr>
                    <w:jc w:val="right"/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Приложение №2. к решению об оценке имущества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</w:p>
                <w:p>
                  <w:pPr>
                    <w:jc w:val="right"/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Гафуржонова А. М.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в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деле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о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банкротстве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№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№А03-3563/2026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r>
                </w:p>
                <w:p>
                  <w:pPr>
                    <w:spacing w:before="91"/>
                    <w:rPr>
                      <w:b/>
                      <w:i/>
                      <w:sz w:val="23"/>
                    </w:rPr>
                  </w:pPr>
                  <w:r>
                    <w:rPr>
                      <w:b/>
                      <w:i/>
                      <w:spacing w:val="-1"/>
                      <w:sz w:val="23"/>
                    </w:rPr>
                    <w:t xml:space="preserve">РАСЧЕТ</w:t>
                  </w:r>
                  <w:r>
                    <w:rPr>
                      <w:b/>
                      <w:i/>
                      <w:spacing w:val="-12"/>
                      <w:sz w:val="23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</w:rPr>
                    <w:t xml:space="preserve">СТОИМОСТИ</w:t>
                  </w:r>
                  <w:r>
                    <w:rPr>
                      <w:b/>
                      <w:i/>
                      <w:spacing w:val="-13"/>
                      <w:sz w:val="23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</w:rPr>
                    <w:t xml:space="preserve">ИМУЩЕСТВА</w:t>
                  </w:r>
                  <w:r>
                    <w:rPr>
                      <w:b/>
                      <w:i/>
                      <w:spacing w:val="-14"/>
                      <w:sz w:val="23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</w:rPr>
                    <w:t xml:space="preserve">ДОЛЖНИКА</w:t>
                  </w:r>
                  <w:r>
                    <w:rPr>
                      <w:b/>
                      <w:i/>
                      <w:spacing w:val="-11"/>
                      <w:sz w:val="23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</w:rPr>
                    <w:t xml:space="preserve">методом</w:t>
                  </w:r>
                  <w:r>
                    <w:rPr>
                      <w:b/>
                      <w:i/>
                      <w:spacing w:val="-12"/>
                      <w:sz w:val="23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</w:rPr>
                    <w:t xml:space="preserve">сравнительного</w:t>
                  </w:r>
                  <w:r>
                    <w:rPr>
                      <w:b/>
                      <w:i/>
                      <w:spacing w:val="-11"/>
                      <w:sz w:val="23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</w:rPr>
                    <w:t xml:space="preserve">анализа</w:t>
                  </w:r>
                  <w:r>
                    <w:rPr>
                      <w:b/>
                      <w:i/>
                      <w:spacing w:val="-11"/>
                      <w:sz w:val="23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</w:rPr>
                    <w:t xml:space="preserve">с</w:t>
                  </w:r>
                  <w:r>
                    <w:rPr>
                      <w:b/>
                      <w:i/>
                      <w:spacing w:val="-55"/>
                      <w:sz w:val="23"/>
                    </w:rPr>
                    <w:t xml:space="preserve"> </w:t>
                  </w:r>
                  <w:r>
                    <w:rPr>
                      <w:b/>
                      <w:i/>
                      <w:sz w:val="23"/>
                    </w:rPr>
                    <w:t xml:space="preserve">объектами-аналогами</w:t>
                  </w:r>
                  <w:r>
                    <w:rPr>
                      <w:b/>
                      <w:i/>
                      <w:sz w:val="23"/>
                    </w:rPr>
                  </w:r>
                </w:p>
                <w:p>
                  <w:pPr>
                    <w:spacing w:line="274" w:lineRule="exact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РАСЧЕТ:</w:t>
                  </w:r>
                  <w:r>
                    <w:rPr>
                      <w:b/>
                      <w:i/>
                    </w:rPr>
                  </w:r>
                </w:p>
                <w:p>
                  <w:pPr>
                    <w:pStyle w:val="704"/>
                    <w:jc w:val="both"/>
                    <w:spacing w:line="274" w:lineRule="exact"/>
                  </w:pPr>
                  <w:r>
                    <w:t xml:space="preserve">Подобрано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аналогов: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3.</w:t>
                  </w:r>
                  <w:r/>
                </w:p>
                <w:p>
                  <w:pPr>
                    <w:pStyle w:val="704"/>
                    <w:jc w:val="both"/>
                  </w:pPr>
                  <w:r>
                    <w:t xml:space="preserve">Ценовой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диапазон: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 xml:space="preserve">от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4 550 000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 xml:space="preserve">рублей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 xml:space="preserve">до 5 9</w:t>
                  </w:r>
                  <w:r>
                    <w:rPr>
                      <w:spacing w:val="-4"/>
                    </w:rPr>
                    <w:t xml:space="preserve">00 000 </w:t>
                  </w:r>
                  <w:r>
                    <w:t xml:space="preserve">рублей.</w:t>
                  </w:r>
                  <w:r/>
                </w:p>
                <w:p>
                  <w:pPr>
                    <w:pStyle w:val="704"/>
                    <w:jc w:val="both"/>
                  </w:pPr>
                  <w:r>
                    <w:t xml:space="preserve"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соответствии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состоянием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инфраструктурой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квартиры,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также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местонахождением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объекта оценки,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которых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аналог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такого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рода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объекта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обычно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используется (местонахождение Белгородская обл.), оценка стоимости может производиться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 xml:space="preserve">путем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сравнительного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подхода,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который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служит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оценки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рыночной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стоимости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объекта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исходя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из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методов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оценки,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основанных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получении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стоимости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объекта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оценки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путем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сравнения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оцениваемых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объектов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объектами-аналогами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которые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были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проданы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или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предложены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продажу.</w:t>
                  </w:r>
                  <w:r/>
                </w:p>
                <w:p>
                  <w:pPr>
                    <w:pStyle w:val="704"/>
                    <w:jc w:val="both"/>
                  </w:pPr>
                  <w:r>
                    <w:t xml:space="preserve">Согласно перечисленным характеристикам, расчет стоимости квартиры будет 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 xml:space="preserve">проводиться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сравнительным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 xml:space="preserve">подходом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оценке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недвижимости:</w:t>
                  </w:r>
                  <w:r/>
                </w:p>
                <w:p>
                  <w:pPr>
                    <w:pStyle w:val="704"/>
                    <w:jc w:val="both"/>
                    <w:rPr>
                      <w:spacing w:val="15"/>
                    </w:rPr>
                  </w:pPr>
                  <w:r>
                    <w:t xml:space="preserve">Среднее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 xml:space="preserve">арифметическое: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 xml:space="preserve">(4550000+5000000+5900000)/3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 xml:space="preserve">=</w:t>
                  </w:r>
                  <w:r>
                    <w:t xml:space="preserve">150000</w:t>
                  </w:r>
                  <w:r>
                    <w:rPr>
                      <w:spacing w:val="15"/>
                    </w:rPr>
                    <w:t xml:space="preserve">/2= 2 575 000</w:t>
                  </w:r>
                  <w:r>
                    <w:rPr>
                      <w:spacing w:val="15"/>
                    </w:rPr>
                  </w:r>
                </w:p>
                <w:p>
                  <w:pPr>
                    <w:pStyle w:val="704"/>
                    <w:jc w:val="both"/>
                  </w:pPr>
                  <w:r/>
                  <w:r/>
                </w:p>
                <w:p>
                  <w:pPr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 xml:space="preserve">ЗАКЛЮЧЕНИЕ:</w:t>
                  </w:r>
                  <w:r>
                    <w:rPr>
                      <w:b/>
                      <w:i/>
                      <w:sz w:val="20"/>
                    </w:rPr>
                  </w:r>
                </w:p>
                <w:p>
                  <w:pPr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</w:r>
                  <w:r>
                    <w:rPr>
                      <w:b/>
                      <w:i/>
                      <w:sz w:val="20"/>
                    </w:rPr>
                  </w:r>
                </w:p>
                <w:p>
                  <w:pPr>
                    <w:pStyle w:val="704"/>
                    <w:jc w:val="both"/>
                    <w:spacing w:before="1"/>
                  </w:pPr>
                  <w:r>
                    <w:t xml:space="preserve">Путём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сравнительного подхода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оценке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квартиры,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согласно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которому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наибольшая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стоимость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объекта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определяется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наименьшей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ценой,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которой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может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быть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приобретен другой объект с аналогичной полезностью, а также в соответствии с состоянием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местонахождением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оцениваемой доли в квартире</w:t>
                  </w:r>
                  <w:r/>
                </w:p>
                <w:p>
                  <w:pPr>
                    <w:pStyle w:val="704"/>
                    <w:jc w:val="both"/>
                    <w:spacing w:before="1"/>
                  </w:pPr>
                  <w:r/>
                  <w:r/>
                </w:p>
                <w:p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УСТАНОВИТЬ:</w:t>
                  </w:r>
                  <w:r>
                    <w:rPr>
                      <w:sz w:val="20"/>
                    </w:rPr>
                  </w:r>
                </w:p>
                <w:p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</w:r>
                  <w:r>
                    <w:rPr>
                      <w:sz w:val="20"/>
                    </w:rPr>
                  </w:r>
                </w:p>
                <w:p>
                  <w:pPr>
                    <w:jc w:val="center"/>
                    <w:spacing w:before="1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 xml:space="preserve">Начальную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продажную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стоимость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имущества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должника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 xml:space="preserve">2 575 000</w:t>
                  </w:r>
                  <w:r>
                    <w:rPr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 xml:space="preserve">(два миллиона пятьсот семьдесят пять тысяч)</w:t>
                  </w:r>
                  <w:r>
                    <w:rPr>
                      <w:b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 xml:space="preserve">рублей</w:t>
                  </w:r>
                  <w:r>
                    <w:rPr>
                      <w:b/>
                      <w:sz w:val="20"/>
                    </w:rPr>
                  </w:r>
                </w:p>
                <w:p>
                  <w:pPr>
                    <w:jc w:val="center"/>
                    <w:spacing w:before="1"/>
                    <w:rPr>
                      <w:b/>
                      <w:bCs/>
                      <w:i/>
                      <w:iCs/>
                      <w:sz w:val="20"/>
                    </w:rPr>
                  </w:pPr>
                  <w:r/>
                  <w:r>
                    <w:rPr>
                      <w:b/>
                      <w:bCs/>
                      <w:i/>
                      <w:iCs/>
                      <w:sz w:val="20"/>
                    </w:rPr>
                  </w:r>
                </w:p>
                <w:p>
                  <w:pPr>
                    <w:spacing w:before="1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Финансовый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управляющий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  <w:br/>
                    <w:t xml:space="preserve">Гафуржонова Амиржона Муминжоновича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</w:r>
                </w:p>
                <w:p>
                  <w:pPr>
                    <w:ind w:left="212"/>
                    <w:jc w:val="right"/>
                    <w:tabs>
                      <w:tab w:val="left" w:pos="453" w:leader="none"/>
                    </w:tabs>
                    <w:rPr>
                      <w:lang w:val="en-US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М.В. Косточкина</w:t>
                  </w:r>
                  <w:r>
                    <w:rPr>
                      <w:lang w:val="en-US"/>
                    </w:rPr>
                  </w:r>
                </w:p>
                <w:p>
                  <w:pPr>
                    <w:spacing w:before="1"/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</w:p>
                <w:p>
                  <w:pPr>
                    <w:spacing w:before="1"/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</w:p>
                <w:p>
                  <w:pPr>
                    <w:spacing w:before="1"/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</w:p>
              </w:tc>
            </w:tr>
          </w:tbl>
          <w:p>
            <w:pPr>
              <w:rPr>
                <w:lang w:val="en-US"/>
              </w:rPr>
            </w:pPr>
            <w:r>
              <w:rPr>
                <w:lang w:val="en-US"/>
              </w:rPr>
            </w:r>
            <w:r>
              <w:rPr>
                <w:lang w:val="en-US"/>
              </w:rPr>
            </w:r>
          </w:p>
          <w:p>
            <w:r/>
            <w:r/>
          </w:p>
        </w:tc>
      </w:tr>
    </w:tbl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tbl>
      <w:tblPr>
        <w:tblStyle w:val="709"/>
        <w:tblW w:w="10744" w:type="dxa"/>
        <w:tblInd w:w="24" w:type="dxa"/>
        <w:tblLook w:val="04A0" w:firstRow="1" w:lastRow="0" w:firstColumn="1" w:lastColumn="0" w:noHBand="0" w:noVBand="1"/>
      </w:tblPr>
      <w:tblGrid>
        <w:gridCol w:w="10744"/>
      </w:tblGrid>
      <w:tr>
        <w:tblPrEx/>
        <w:trPr>
          <w:trHeight w:val="70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744" w:type="dxa"/>
            <w:textDirection w:val="lrTb"/>
            <w:noWrap w:val="false"/>
          </w:tcPr>
          <w:tbl>
            <w:tblPr>
              <w:tblW w:w="1023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ook w:val="0000" w:firstRow="0" w:lastRow="0" w:firstColumn="0" w:lastColumn="0" w:noHBand="0" w:noVBand="0"/>
            </w:tblPr>
            <w:tblGrid>
              <w:gridCol w:w="10230"/>
            </w:tblGrid>
            <w:tr>
              <w:tblPrEx/>
              <w:trPr>
                <w:trHeight w:val="6000"/>
              </w:trPr>
              <w:tc>
                <w:tcPr>
                  <w:tcBorders>
                    <w:top w:val="none" w:color="000000" w:sz="4" w:space="0"/>
                    <w:left w:val="none" w:color="000000" w:sz="4" w:space="0"/>
                    <w:bottom w:val="none" w:color="000000" w:sz="4" w:space="0"/>
                    <w:right w:val="none" w:color="000000" w:sz="4" w:space="0"/>
                  </w:tcBorders>
                  <w:tcW w:w="10230" w:type="dxa"/>
                  <w:textDirection w:val="lrTb"/>
                  <w:noWrap w:val="false"/>
                </w:tcPr>
                <w:p>
                  <w:pPr>
                    <w:ind w:left="24"/>
                  </w:pPr>
                  <w:r/>
                  <w:r/>
                </w:p>
                <w:p>
                  <w:pPr>
                    <w:jc w:val="right"/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Приложение №3. к решению об оценке имущества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r>
                </w:p>
                <w:p>
                  <w:pPr>
                    <w:jc w:val="right"/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Гафуржонова А. М.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в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деле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о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банкротстве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 №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  <w:t xml:space="preserve">№А03-3563/2026</w:t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r>
                </w:p>
                <w:p>
                  <w:pPr>
                    <w:jc w:val="right"/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r>
                  <w:r>
                    <w:rPr>
                      <w:b/>
                      <w:bCs/>
                      <w:i/>
                      <w:iCs/>
                      <w:sz w:val="20"/>
                      <w:szCs w:val="20"/>
                      <w:lang w:val="en-US"/>
                    </w:rPr>
                  </w:r>
                </w:p>
                <w:p>
                  <w:pPr>
                    <w:numPr>
                      <w:ilvl w:val="0"/>
                      <w:numId w:val="3"/>
                    </w:numPr>
                    <w:ind w:left="744"/>
                  </w:pPr>
                  <w:r>
                    <w:t xml:space="preserve">2-к. квартира, 52 м ². Цена 4 550 000. Источник </w:t>
                  </w:r>
                  <w:r>
                    <w:rPr>
                      <w:lang w:val="en-US"/>
                    </w:rPr>
                    <w:t xml:space="preserve">avito</w:t>
                  </w:r>
                  <w:r>
                    <w:t xml:space="preserve">.ru.</w:t>
                  </w:r>
                  <w:r/>
                </w:p>
                <w:p>
                  <w:pPr>
                    <w:ind w:left="744"/>
                  </w:pPr>
                  <w:r/>
                  <w:hyperlink r:id="rId15" w:tooltip="https://www.avito.ru/staryy_oskol/kvartiry/2-k._kvartira_52_m_79_et._3732679690" w:history="1">
                    <w:r>
                      <w:rPr>
                        <w:rStyle w:val="707"/>
                      </w:rPr>
                      <w:t xml:space="preserve">https://www.avito.ru/staryy_oskol/kvartiry/2-k._kvartira_52_m_79_et._3732679690</w:t>
                    </w:r>
                  </w:hyperlink>
                  <w:r/>
                  <w:r/>
                </w:p>
                <w:p>
                  <w:pPr>
                    <w:ind w:left="24"/>
                    <w:spacing w:before="100" w:beforeAutospacing="1" w:after="100" w:afterAutospacing="1"/>
                  </w:pPr>
                  <w:r/>
                  <w:r/>
                </w:p>
                <w:p>
                  <w:pPr>
                    <w:ind w:left="74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numPr>
                      <w:ilvl w:val="0"/>
                      <w:numId w:val="3"/>
                    </w:numPr>
                    <w:ind w:left="744"/>
                  </w:pPr>
                  <w:r>
                    <w:t xml:space="preserve">2-к. квартира, 52,6 м ². Цена 5 900 000. Источник </w:t>
                  </w:r>
                  <w:r>
                    <w:rPr>
                      <w:lang w:val="en-US"/>
                    </w:rPr>
                    <w:t xml:space="preserve">avito</w:t>
                  </w:r>
                  <w:r>
                    <w:t xml:space="preserve">.ru.</w:t>
                  </w:r>
                  <w:r/>
                </w:p>
                <w:p>
                  <w:pPr>
                    <w:ind w:left="24"/>
                  </w:pPr>
                  <w:r/>
                  <w:hyperlink r:id="rId16" w:tooltip="https://www.avito.ru/staryy_oskol/kvartiry/2-k._kvartira_526_m_99_et._3950973298" w:history="1">
                    <w:r>
                      <w:rPr>
                        <w:rStyle w:val="707"/>
                      </w:rPr>
                      <w:t xml:space="preserve">https://www.avito.ru/staryy_oskol/kvartiry/2-k._kvartira_526_m_99_et._3950973298</w:t>
                    </w:r>
                  </w:hyperlink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  <w:rPr>
                      <w:b/>
                      <w:bCs/>
                      <w:sz w:val="20"/>
                      <w:szCs w:val="20"/>
                      <w:lang w:val="en-US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Финансовый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управляющий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  <w:br/>
                    <w:t xml:space="preserve">Гафуржонова Амиржона Муминжоновича</w:t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</w:r>
                  <w:r>
                    <w:rPr>
                      <w:b/>
                      <w:bCs/>
                      <w:sz w:val="20"/>
                      <w:szCs w:val="20"/>
                      <w:lang w:val="en-US"/>
                    </w:rPr>
                  </w:r>
                </w:p>
                <w:p>
                  <w:pPr>
                    <w:ind w:left="212"/>
                    <w:jc w:val="right"/>
                    <w:tabs>
                      <w:tab w:val="left" w:pos="453" w:leader="none"/>
                    </w:tabs>
                    <w:rPr>
                      <w:lang w:val="en-US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М.В. Косточкина</w:t>
                  </w:r>
                  <w:r>
                    <w:rPr>
                      <w:lang w:val="en-US"/>
                    </w:rPr>
                  </w:r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  <w:p>
                  <w:pPr>
                    <w:ind w:left="24"/>
                  </w:pPr>
                  <w:r/>
                  <w:r/>
                </w:p>
              </w:tc>
            </w:tr>
          </w:tbl>
          <w:p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lang w:val="en-US"/>
              </w:rPr>
            </w:r>
            <w:r>
              <w:rPr>
                <w:lang w:val="en-US"/>
              </w:rPr>
            </w:r>
          </w:p>
          <w:p>
            <w:r/>
            <w:r/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7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</w:p>
  <w:p>
    <w:pPr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9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1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3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5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7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49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1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3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57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2" w:hanging="2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38" w:hanging="240"/>
      </w:pPr>
      <w:rPr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17" w:hanging="240"/>
      </w:pPr>
      <w:rPr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95" w:hanging="240"/>
      </w:pPr>
      <w:rPr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74" w:hanging="240"/>
      </w:pPr>
      <w:rPr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53" w:hanging="240"/>
      </w:pPr>
      <w:rPr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31" w:hanging="240"/>
      </w:pPr>
      <w:rPr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10" w:hanging="240"/>
      </w:pPr>
      <w:rPr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89" w:hanging="240"/>
      </w:pPr>
      <w:rPr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  <w:lvlOverride w:ilvl="0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5">
    <w:name w:val="Heading 1 Char"/>
    <w:basedOn w:val="689"/>
    <w:link w:val="685"/>
    <w:uiPriority w:val="9"/>
    <w:rPr>
      <w:rFonts w:ascii="Liberation Sans" w:hAnsi="Liberation Sans" w:eastAsia="Liberation Sans" w:cs="Liberation Sans"/>
      <w:sz w:val="40"/>
      <w:szCs w:val="40"/>
    </w:rPr>
  </w:style>
  <w:style w:type="character" w:styleId="17">
    <w:name w:val="Heading 2 Char"/>
    <w:basedOn w:val="689"/>
    <w:link w:val="686"/>
    <w:uiPriority w:val="9"/>
    <w:rPr>
      <w:rFonts w:ascii="Liberation Sans" w:hAnsi="Liberation Sans" w:eastAsia="Liberation Sans" w:cs="Liberation Sans"/>
      <w:sz w:val="34"/>
    </w:rPr>
  </w:style>
  <w:style w:type="character" w:styleId="19">
    <w:name w:val="Heading 3 Char"/>
    <w:basedOn w:val="689"/>
    <w:link w:val="687"/>
    <w:uiPriority w:val="9"/>
    <w:rPr>
      <w:rFonts w:ascii="Liberation Sans" w:hAnsi="Liberation Sans" w:eastAsia="Liberation Sans" w:cs="Liberation Sans"/>
      <w:sz w:val="30"/>
      <w:szCs w:val="30"/>
    </w:rPr>
  </w:style>
  <w:style w:type="character" w:styleId="21">
    <w:name w:val="Heading 4 Char"/>
    <w:basedOn w:val="689"/>
    <w:link w:val="688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84"/>
    <w:next w:val="684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689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84"/>
    <w:next w:val="684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689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84"/>
    <w:next w:val="684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689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84"/>
    <w:next w:val="684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689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84"/>
    <w:next w:val="684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689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84"/>
    <w:next w:val="684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689"/>
    <w:link w:val="35"/>
    <w:uiPriority w:val="10"/>
    <w:rPr>
      <w:sz w:val="48"/>
      <w:szCs w:val="48"/>
    </w:rPr>
  </w:style>
  <w:style w:type="paragraph" w:styleId="37">
    <w:name w:val="Subtitle"/>
    <w:basedOn w:val="684"/>
    <w:next w:val="684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689"/>
    <w:link w:val="37"/>
    <w:uiPriority w:val="11"/>
    <w:rPr>
      <w:sz w:val="24"/>
      <w:szCs w:val="24"/>
    </w:rPr>
  </w:style>
  <w:style w:type="paragraph" w:styleId="39">
    <w:name w:val="Quote"/>
    <w:basedOn w:val="684"/>
    <w:next w:val="684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84"/>
    <w:next w:val="684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84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689"/>
    <w:link w:val="43"/>
    <w:uiPriority w:val="99"/>
  </w:style>
  <w:style w:type="character" w:styleId="46">
    <w:name w:val="Footer Char"/>
    <w:basedOn w:val="689"/>
    <w:link w:val="702"/>
    <w:uiPriority w:val="99"/>
  </w:style>
  <w:style w:type="paragraph" w:styleId="47">
    <w:name w:val="Caption"/>
    <w:basedOn w:val="684"/>
    <w:next w:val="684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689"/>
    <w:link w:val="47"/>
    <w:uiPriority w:val="35"/>
    <w:rPr>
      <w:b/>
      <w:bCs/>
      <w:color w:val="4f81bd" w:themeColor="accent1"/>
      <w:sz w:val="18"/>
      <w:szCs w:val="18"/>
    </w:rPr>
  </w:style>
  <w:style w:type="table" w:styleId="50">
    <w:name w:val="Table Grid Light"/>
    <w:basedOn w:val="69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69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69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3664a9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606060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245d8d" w:themeColor="accent5" w:themeShade="95"/>
        <w:sz w:val="22"/>
      </w:rPr>
    </w:tblStylePr>
    <w:tblStylePr w:type="firstCol">
      <w:rPr>
        <w:rFonts w:ascii="Liberation Sans" w:hAnsi="Liberation Sans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26429" w:themeColor="accent6" w:themeShade="95"/>
        <w:sz w:val="22"/>
      </w:rPr>
    </w:tblStylePr>
    <w:tblStylePr w:type="firstCol">
      <w:rPr>
        <w:rFonts w:ascii="Liberation Sans" w:hAnsi="Liberation Sans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254374" w:themeColor="accent1" w:themeShade="95"/>
        <w:sz w:val="22"/>
      </w:rPr>
    </w:tblStylePr>
    <w:tblStylePr w:type="firstCol">
      <w:rPr>
        <w:rFonts w:ascii="Liberation Sans" w:hAnsi="Liberation Sans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54374" w:themeColor="accent1" w:themeShade="95"/>
        <w:sz w:val="22"/>
      </w:rPr>
    </w:tblStylePr>
  </w:style>
  <w:style w:type="table" w:styleId="149">
    <w:name w:val="List Table 7 Colorful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95712" w:themeColor="accent2" w:themeTint="97" w:themeShade="95"/>
        <w:sz w:val="22"/>
      </w:rPr>
    </w:tblStylePr>
  </w:style>
  <w:style w:type="table" w:styleId="150">
    <w:name w:val="List Table 7 Colorful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757575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57575" w:themeColor="accent3" w:themeTint="98" w:themeShade="95"/>
        <w:sz w:val="22"/>
      </w:rPr>
    </w:tblStylePr>
  </w:style>
  <w:style w:type="table" w:styleId="151">
    <w:name w:val="List Table 7 Colorful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d9600" w:themeColor="accent4" w:themeTint="9A" w:themeShade="95"/>
        <w:sz w:val="22"/>
      </w:rPr>
    </w:tblStylePr>
  </w:style>
  <w:style w:type="table" w:styleId="152">
    <w:name w:val="List Table 7 Colorful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2e78b1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e78b1" w:themeColor="accent5" w:themeTint="9A" w:themeShade="95"/>
        <w:sz w:val="22"/>
      </w:rPr>
    </w:tblStylePr>
  </w:style>
  <w:style w:type="table" w:styleId="153">
    <w:name w:val="List Table 7 Colorful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5f8f3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5f8f3c" w:themeColor="accent6" w:themeTint="98" w:themeShade="95"/>
        <w:sz w:val="22"/>
      </w:rPr>
    </w:tblStylePr>
  </w:style>
  <w:style w:type="table" w:styleId="154">
    <w:name w:val="Lined - Accent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6">
    <w:name w:val="Lined - Accent 2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7">
    <w:name w:val="Lined - Accent 3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8">
    <w:name w:val="Lined - Accent 4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9">
    <w:name w:val="Lined - Accent 5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0">
    <w:name w:val="Lined - Accent 6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1">
    <w:name w:val="Bordered &amp; Lined - Accent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3">
    <w:name w:val="Bordered &amp; Lined - Accent 2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4">
    <w:name w:val="Bordered &amp; Lined - Accent 3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5">
    <w:name w:val="Bordered &amp; Lined - Accent 4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6">
    <w:name w:val="Bordered &amp; Lined - Accent 5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7">
    <w:name w:val="Bordered &amp; Lined - Accent 6"/>
    <w:basedOn w:val="69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8">
    <w:name w:val="Bordered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6">
    <w:name w:val="footnote text"/>
    <w:basedOn w:val="684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689"/>
    <w:uiPriority w:val="99"/>
    <w:unhideWhenUsed/>
    <w:rPr>
      <w:vertAlign w:val="superscript"/>
    </w:rPr>
  </w:style>
  <w:style w:type="paragraph" w:styleId="179">
    <w:name w:val="endnote text"/>
    <w:basedOn w:val="684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689"/>
    <w:uiPriority w:val="99"/>
    <w:semiHidden/>
    <w:unhideWhenUsed/>
    <w:rPr>
      <w:vertAlign w:val="superscript"/>
    </w:rPr>
  </w:style>
  <w:style w:type="paragraph" w:styleId="182">
    <w:name w:val="toc 1"/>
    <w:basedOn w:val="684"/>
    <w:next w:val="684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84"/>
    <w:next w:val="684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84"/>
    <w:next w:val="684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84"/>
    <w:next w:val="684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84"/>
    <w:next w:val="684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84"/>
    <w:next w:val="684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84"/>
    <w:next w:val="684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84"/>
    <w:next w:val="684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84"/>
    <w:next w:val="684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84"/>
    <w:next w:val="684"/>
    <w:uiPriority w:val="99"/>
    <w:unhideWhenUsed/>
    <w:pPr>
      <w:spacing w:after="0" w:afterAutospacing="0"/>
    </w:pPr>
  </w:style>
  <w:style w:type="paragraph" w:styleId="684" w:default="1">
    <w:name w:val="Normal"/>
    <w:qFormat/>
    <w:rPr>
      <w:sz w:val="24"/>
      <w:szCs w:val="24"/>
    </w:rPr>
  </w:style>
  <w:style w:type="paragraph" w:styleId="685">
    <w:name w:val="Heading 1"/>
    <w:basedOn w:val="684"/>
    <w:link w:val="692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86">
    <w:name w:val="Heading 2"/>
    <w:basedOn w:val="684"/>
    <w:link w:val="693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87">
    <w:name w:val="Heading 3"/>
    <w:basedOn w:val="684"/>
    <w:link w:val="694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88">
    <w:name w:val="Heading 4"/>
    <w:basedOn w:val="684"/>
    <w:link w:val="695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89" w:default="1">
    <w:name w:val="Default Paragraph Font"/>
    <w:uiPriority w:val="1"/>
    <w:semiHidden/>
    <w:unhideWhenUsed/>
  </w:style>
  <w:style w:type="table" w:styleId="69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1" w:default="1">
    <w:name w:val="No List"/>
    <w:uiPriority w:val="99"/>
    <w:semiHidden/>
    <w:unhideWhenUsed/>
  </w:style>
  <w:style w:type="character" w:styleId="692" w:customStyle="1">
    <w:name w:val="Заголовок 1 Знак"/>
    <w:link w:val="685"/>
    <w:uiPriority w:val="9"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93" w:customStyle="1">
    <w:name w:val="Заголовок 2 Знак"/>
    <w:link w:val="686"/>
    <w:uiPriority w:val="9"/>
    <w:semiHidden/>
    <w:rPr>
      <w:rFonts w:ascii="Calibri Light" w:hAnsi="Calibri Light" w:eastAsia="Times New Roman" w:cs="Times New Roman"/>
      <w:color w:val="2f5496"/>
      <w:sz w:val="26"/>
      <w:szCs w:val="26"/>
    </w:rPr>
  </w:style>
  <w:style w:type="character" w:styleId="694" w:customStyle="1">
    <w:name w:val="Заголовок 3 Знак"/>
    <w:link w:val="687"/>
    <w:uiPriority w:val="9"/>
    <w:semiHidden/>
    <w:rPr>
      <w:rFonts w:ascii="Calibri Light" w:hAnsi="Calibri Light" w:eastAsia="Times New Roman" w:cs="Times New Roman"/>
      <w:color w:val="1f3763"/>
      <w:sz w:val="24"/>
      <w:szCs w:val="24"/>
    </w:rPr>
  </w:style>
  <w:style w:type="character" w:styleId="695" w:customStyle="1">
    <w:name w:val="Заголовок 4 Знак"/>
    <w:link w:val="688"/>
    <w:uiPriority w:val="9"/>
    <w:semiHidden/>
    <w:rPr>
      <w:rFonts w:ascii="Calibri Light" w:hAnsi="Calibri Light" w:eastAsia="Times New Roman" w:cs="Times New Roman"/>
      <w:i/>
      <w:iCs/>
      <w:color w:val="2f5496"/>
      <w:sz w:val="24"/>
      <w:szCs w:val="24"/>
    </w:rPr>
  </w:style>
  <w:style w:type="paragraph" w:styleId="696" w:customStyle="1">
    <w:name w:val="msonormal"/>
    <w:basedOn w:val="684"/>
    <w:pPr>
      <w:spacing w:before="120" w:after="120"/>
    </w:pPr>
  </w:style>
  <w:style w:type="paragraph" w:styleId="697">
    <w:name w:val="Normal (Web)"/>
    <w:basedOn w:val="684"/>
    <w:uiPriority w:val="99"/>
    <w:unhideWhenUsed/>
    <w:pPr>
      <w:spacing w:before="120" w:after="120"/>
    </w:pPr>
  </w:style>
  <w:style w:type="paragraph" w:styleId="698" w:customStyle="1">
    <w:name w:val="indent"/>
    <w:basedOn w:val="684"/>
    <w:pPr>
      <w:ind w:firstLine="708"/>
      <w:jc w:val="both"/>
      <w:spacing w:before="120" w:after="120"/>
    </w:pPr>
  </w:style>
  <w:style w:type="paragraph" w:styleId="699" w:customStyle="1">
    <w:name w:val="indnomrg"/>
    <w:basedOn w:val="684"/>
    <w:pPr>
      <w:ind w:firstLine="708"/>
      <w:jc w:val="both"/>
    </w:pPr>
  </w:style>
  <w:style w:type="paragraph" w:styleId="700" w:customStyle="1">
    <w:name w:val="nomrg"/>
    <w:basedOn w:val="684"/>
    <w:pPr>
      <w:jc w:val="both"/>
    </w:pPr>
  </w:style>
  <w:style w:type="paragraph" w:styleId="701" w:customStyle="1">
    <w:name w:val="zagolovok6"/>
    <w:qFormat/>
    <w:rPr>
      <w:sz w:val="24"/>
      <w:szCs w:val="24"/>
    </w:rPr>
  </w:style>
  <w:style w:type="paragraph" w:styleId="702">
    <w:name w:val="Footer"/>
    <w:basedOn w:val="684"/>
    <w:link w:val="70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03" w:customStyle="1">
    <w:name w:val="Нижний колонтитул Знак"/>
    <w:link w:val="702"/>
    <w:uiPriority w:val="99"/>
    <w:rPr>
      <w:rFonts w:eastAsia="Times New Roman"/>
      <w:sz w:val="24"/>
      <w:szCs w:val="24"/>
    </w:rPr>
  </w:style>
  <w:style w:type="paragraph" w:styleId="704">
    <w:name w:val="Body Text"/>
    <w:basedOn w:val="684"/>
    <w:link w:val="705"/>
    <w:uiPriority w:val="1"/>
    <w:semiHidden/>
    <w:unhideWhenUsed/>
    <w:qFormat/>
    <w:pPr>
      <w:widowControl w:val="off"/>
    </w:pPr>
    <w:rPr>
      <w:lang w:eastAsia="en-US"/>
    </w:rPr>
  </w:style>
  <w:style w:type="character" w:styleId="705" w:customStyle="1">
    <w:name w:val="Основной текст Знак"/>
    <w:link w:val="704"/>
    <w:uiPriority w:val="1"/>
    <w:semiHidden/>
    <w:rPr>
      <w:sz w:val="24"/>
      <w:szCs w:val="24"/>
      <w:lang w:eastAsia="en-US"/>
    </w:rPr>
  </w:style>
  <w:style w:type="paragraph" w:styleId="706">
    <w:name w:val="List Paragraph"/>
    <w:basedOn w:val="684"/>
    <w:uiPriority w:val="1"/>
    <w:qFormat/>
    <w:pPr>
      <w:ind w:left="452" w:hanging="242"/>
      <w:widowControl w:val="off"/>
    </w:pPr>
    <w:rPr>
      <w:sz w:val="22"/>
      <w:szCs w:val="22"/>
      <w:lang w:eastAsia="en-US"/>
    </w:rPr>
  </w:style>
  <w:style w:type="character" w:styleId="707">
    <w:name w:val="Hyperlink"/>
    <w:uiPriority w:val="99"/>
    <w:unhideWhenUsed/>
    <w:rPr>
      <w:color w:val="0563c1"/>
      <w:u w:val="single"/>
    </w:rPr>
  </w:style>
  <w:style w:type="character" w:styleId="708">
    <w:name w:val="Unresolved Mention"/>
    <w:uiPriority w:val="99"/>
    <w:semiHidden/>
    <w:unhideWhenUsed/>
    <w:rPr>
      <w:color w:val="605e5c"/>
      <w:shd w:val="clear" w:color="auto" w:fill="e1dfdd"/>
    </w:rPr>
  </w:style>
  <w:style w:type="table" w:styleId="709">
    <w:name w:val="Table Grid"/>
    <w:basedOn w:val="690"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_2946" w:customStyle="1">
    <w:name w:val="Обычный (Интернет)"/>
    <w:basedOn w:val="640"/>
    <w:next w:val="653"/>
    <w:link w:val="640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hyperlink" Target="https://lk.rosreestr.ru/eservices/real-estate-objects-online?ref=destralegal.ru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hyperlink" Target="https://www.avito.ru/staryy_oskol/kvartiry/2-k._kvartira_52_m_79_et._3732679690" TargetMode="External"/><Relationship Id="rId16" Type="http://schemas.openxmlformats.org/officeDocument/2006/relationships/hyperlink" Target="https://www.avito.ru/staryy_oskol/kvartiry/2-k._kvartira_526_m_99_et._3950973298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14432-0D68-495F-B8D5-49A503C2E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Пользователь</dc:creator>
  <cp:keywords/>
  <dc:description/>
  <cp:lastModifiedBy>alesh</cp:lastModifiedBy>
  <cp:revision>61</cp:revision>
  <dcterms:created xsi:type="dcterms:W3CDTF">2024-10-16T09:43:00Z</dcterms:created>
  <dcterms:modified xsi:type="dcterms:W3CDTF">2026-05-05T14:41:25Z</dcterms:modified>
</cp:coreProperties>
</file>