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6095" w:type="dxa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pStyle w:val="622"/>
              <w:jc w:val="right"/>
              <w:rPr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  <w:lang w:val="en-US"/>
              </w:rPr>
              <w:t xml:space="preserve"> Арбитражный суд Алтайского края</w:t>
            </w:r>
            <w:r>
              <w:rPr>
                <w:i/>
                <w:sz w:val="24"/>
                <w:szCs w:val="24"/>
                <w:lang w:val="en-US"/>
              </w:rPr>
            </w:r>
          </w:p>
          <w:p>
            <w:pPr>
              <w:pStyle w:val="62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62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финансового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управляющего</w:t>
            </w:r>
            <w:r>
              <w:rPr>
                <w:sz w:val="24"/>
                <w:szCs w:val="24"/>
                <w:lang w:val="en-US"/>
              </w:rPr>
              <w:t xml:space="preserve"> Гафуржонова Амиржона Муминжоновича Косточкина Мария Васильевна</w:t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622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632"/>
        <w:ind w:left="720" w:hanging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  <w:lang w:val="en-US"/>
        </w:rPr>
      </w:r>
    </w:p>
    <w:p>
      <w:pPr>
        <w:pStyle w:val="63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порядке</w:t>
      </w:r>
      <w:r>
        <w:rPr>
          <w:b/>
          <w:sz w:val="24"/>
          <w:szCs w:val="24"/>
          <w:lang w:val="en-US"/>
        </w:rPr>
        <w:t xml:space="preserve">, </w:t>
      </w:r>
      <w:r>
        <w:rPr>
          <w:b/>
          <w:sz w:val="24"/>
          <w:szCs w:val="24"/>
        </w:rPr>
        <w:t xml:space="preserve">об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условиях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и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сроках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реализации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</w:rPr>
        <w:t xml:space="preserve">имущества</w:t>
      </w:r>
      <w:r>
        <w:rPr>
          <w:b/>
          <w:sz w:val="24"/>
          <w:szCs w:val="24"/>
          <w:lang w:val="en-US"/>
        </w:rPr>
        <w:t xml:space="preserve"> Гафуржонова Амиржона Муминжоновича</w:t>
      </w:r>
      <w:r>
        <w:rPr>
          <w:b/>
          <w:sz w:val="24"/>
          <w:szCs w:val="24"/>
          <w:lang w:val="en-US"/>
        </w:rPr>
      </w:r>
    </w:p>
    <w:p>
      <w:pPr>
        <w:pStyle w:val="632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(</w:t>
      </w:r>
      <w:r>
        <w:rPr>
          <w:sz w:val="24"/>
          <w:szCs w:val="24"/>
        </w:rPr>
        <w:t xml:space="preserve">дата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рождения</w:t>
      </w:r>
      <w:r>
        <w:rPr>
          <w:sz w:val="24"/>
          <w:szCs w:val="24"/>
          <w:lang w:val="en-US"/>
        </w:rPr>
        <w:t xml:space="preserve">: 06.11.1992, </w:t>
      </w:r>
      <w:r>
        <w:rPr>
          <w:sz w:val="24"/>
          <w:szCs w:val="24"/>
        </w:rPr>
        <w:t xml:space="preserve">место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рождения</w:t>
      </w:r>
      <w:r>
        <w:rPr>
          <w:sz w:val="24"/>
          <w:szCs w:val="24"/>
          <w:lang w:val="en-US"/>
        </w:rPr>
        <w:t xml:space="preserve">: п.Шайдан Аштский район Ленинабадская обл., Республика Таджикистан, </w:t>
      </w:r>
      <w:r>
        <w:rPr>
          <w:sz w:val="24"/>
          <w:szCs w:val="24"/>
        </w:rPr>
        <w:t xml:space="preserve">СНИЛС</w:t>
      </w:r>
      <w:r>
        <w:rPr>
          <w:sz w:val="24"/>
          <w:szCs w:val="24"/>
          <w:lang w:val="en-US"/>
        </w:rPr>
        <w:t xml:space="preserve">: 177-502-754 86, </w:t>
      </w:r>
      <w:r>
        <w:rPr>
          <w:sz w:val="24"/>
          <w:szCs w:val="24"/>
        </w:rPr>
        <w:t xml:space="preserve">ИНН</w:t>
      </w:r>
      <w:r>
        <w:rPr>
          <w:sz w:val="24"/>
          <w:szCs w:val="24"/>
          <w:lang w:val="en-US"/>
        </w:rPr>
        <w:t xml:space="preserve"> 226103906220, </w:t>
      </w:r>
      <w:r>
        <w:rPr>
          <w:sz w:val="24"/>
          <w:szCs w:val="24"/>
        </w:rPr>
        <w:t xml:space="preserve">регистрация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месту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жительства</w:t>
      </w:r>
      <w:r>
        <w:rPr>
          <w:sz w:val="24"/>
          <w:szCs w:val="24"/>
          <w:lang w:val="en-US"/>
        </w:rPr>
        <w:t xml:space="preserve">: Алтайский край, г. Барнаул, ул. Попова, д. 108, кв. 72)</w:t>
      </w:r>
      <w:r>
        <w:rPr>
          <w:sz w:val="24"/>
          <w:szCs w:val="24"/>
          <w:lang w:val="en-US"/>
        </w:rPr>
      </w:r>
    </w:p>
    <w:tbl>
      <w:tblPr>
        <w:tblW w:w="9345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9"/>
        <w:gridCol w:w="1127"/>
        <w:gridCol w:w="7819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tbl>
            <w:tblPr>
              <w:tblW w:w="7590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90"/>
              <w:gridCol w:w="3093"/>
              <w:gridCol w:w="948"/>
              <w:gridCol w:w="3059"/>
            </w:tblGrid>
            <w:tr>
              <w:tblPrEx/>
              <w:trPr/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0" w:type="dxa"/>
                  <w:textDirection w:val="lrTb"/>
                  <w:noWrap w:val="false"/>
                </w:tcPr>
                <w:p>
                  <w:pPr>
                    <w:pStyle w:val="622"/>
                    <w:jc w:val="center"/>
                  </w:pPr>
                  <w:r>
                    <w:t xml:space="preserve">№ </w:t>
                  </w:r>
                  <w:r>
                    <w:t xml:space="preserve">лота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93" w:type="dxa"/>
                  <w:textDirection w:val="lrTb"/>
                  <w:noWrap w:val="false"/>
                </w:tcPr>
                <w:p>
                  <w:pPr>
                    <w:pStyle w:val="62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48" w:type="dxa"/>
                  <w:textDirection w:val="lrTb"/>
                  <w:noWrap w:val="false"/>
                </w:tcPr>
                <w:p>
                  <w:pPr>
                    <w:pStyle w:val="62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59" w:type="dxa"/>
                  <w:textDirection w:val="lrTb"/>
                  <w:noWrap w:val="false"/>
                </w:tcPr>
                <w:p>
                  <w:pPr>
                    <w:pStyle w:val="62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>
                <w:trHeight w:val="7309"/>
              </w:trPr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90" w:type="dxa"/>
                  <w:textDirection w:val="lrTb"/>
                  <w:noWrap w:val="false"/>
                </w:tcPr>
                <w:p>
                  <w:pPr>
                    <w:pStyle w:val="636"/>
                    <w:numPr>
                      <w:ilvl w:val="0"/>
                      <w:numId w:val="1"/>
                    </w:numPr>
                    <w:jc w:val="center"/>
                  </w:pPr>
                  <w:r/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93" w:type="dxa"/>
                  <w:textDirection w:val="lrTb"/>
                  <w:noWrap w:val="false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Кадастровый номер: 22:61:020801:328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Категория земли: ЗЕМЛИ СЕЛЬСКОХОЗЯЙСТВЕННОГО НАЗНАЧЕНИЯ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разрешенного использования: Для ведения гражданами садоводства и огородничества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Код территории муниципального образования по ОКТМО: 01701000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Адрес места нахождения: Алтайский край, г. Барнаул, СНТ Михайловское, линия 10, 10А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1500 кв. м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Кадастровая стоимость: 102 720 руб.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Дата утверждения кадастровой стоимости: 01.01.2023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Сведения о регистрации права на земельный участок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права: Собственность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доли: 1 (единая / целая)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Дата права: 20.11.2023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Номер регистрации права: 22:61:020801:328-22/135/2023-2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22"/>
                    <w:jc w:val="center"/>
                  </w:pPr>
                  <w:r/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948" w:type="dxa"/>
                  <w:textDirection w:val="lrTb"/>
                  <w:noWrap w:val="false"/>
                </w:tcPr>
                <w:p>
                  <w:pPr>
                    <w:pStyle w:val="62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05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102 720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22"/>
                    <w:jc w:val="center"/>
                  </w:pPr>
                  <w:r/>
                  <w:r/>
                </w:p>
              </w:tc>
            </w:tr>
          </w:tbl>
          <w:p>
            <w:pPr>
              <w:pStyle w:val="622"/>
            </w:pPr>
            <w:r/>
            <w:bookmarkStart w:id="0" w:name="_Hlk76551188"/>
            <w:r/>
            <w:bookmarkStart w:id="1" w:name="_Hlk71279784"/>
            <w:r>
              <w:rPr>
                <w:bCs/>
                <w:sz w:val="22"/>
                <w:szCs w:val="22"/>
              </w:rPr>
              <w:t xml:space="preserve">С имуществом, являющимся предметом торгов, и имеющимися в отношении этого имущества правоустанавливающими документами можно ознакомиться </w:t>
            </w:r>
            <w:bookmarkEnd w:id="1"/>
            <w:r>
              <w:rPr>
                <w:bCs/>
                <w:sz w:val="22"/>
                <w:szCs w:val="22"/>
              </w:rPr>
              <w:t xml:space="preserve">с момента публикации сообщения о продаже и до окончания приема заявок, </w:t>
            </w:r>
            <w:bookmarkEnd w:id="0"/>
            <w:r>
              <w:rPr>
                <w:bCs/>
                <w:sz w:val="22"/>
                <w:szCs w:val="22"/>
              </w:rPr>
              <w:t xml:space="preserve">по предварительному согласования по эл. почте: mkostochkina00@mail.ru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Сроки продажи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Организатор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Финансовый управляющий Гафуржонова Амиржона Муминжоновича Косточкина Мария Васильевна, действующий на основании решения Арбитражный суд Алтайского края от 07.04.2026 г. по делу № №А03-3563/2026</w:t>
            </w:r>
            <w:r/>
          </w:p>
          <w:p>
            <w:pPr>
              <w:pStyle w:val="62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2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22"/>
            </w:pPr>
            <w:r>
              <w:t xml:space="preserve">- определяет участников торгов;</w:t>
            </w:r>
            <w:r/>
          </w:p>
          <w:p>
            <w:pPr>
              <w:pStyle w:val="62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22"/>
            </w:pPr>
            <w:r>
              <w:t xml:space="preserve">- уведомляет заявителей и участников торгов о результатах проведения торгов.</w:t>
            </w:r>
            <w:r/>
          </w:p>
          <w:p>
            <w:pPr>
              <w:pStyle w:val="622"/>
            </w:pPr>
            <w:r>
              <w:t xml:space="preserve">Сведения об организаторе торгов:</w:t>
            </w:r>
            <w:r/>
          </w:p>
          <w:p>
            <w:pPr>
              <w:pStyle w:val="622"/>
            </w:pPr>
            <w:r>
              <w:t xml:space="preserve">- почтовый адрес: 163046, Архангельская область, Архангельск, Воскресенская, 59, 2 этаж</w:t>
            </w:r>
            <w:r/>
          </w:p>
          <w:p>
            <w:pPr>
              <w:pStyle w:val="622"/>
            </w:pPr>
            <w:r>
              <w:t xml:space="preserve">- адрес электронной почты: mkostochkina00@mail.ru</w:t>
            </w:r>
            <w:r/>
          </w:p>
          <w:p>
            <w:pPr>
              <w:pStyle w:val="622"/>
            </w:pPr>
            <w:r>
              <w:t xml:space="preserve">- контактный номер: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Место проведения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Торги проводятся в электронной форме на электронной  по адресу в сети Интернет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(АукционПРО)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Размер задатка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7.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Срок и порядок внесения задатка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1. Срок внесения задатка - </w:t>
            </w:r>
            <w:r>
              <w:t xml:space="preserve">не позднее даты окончания срока приема заявок</w:t>
            </w:r>
            <w:r>
              <w:t xml:space="preserve"> на участие в торгах</w:t>
            </w:r>
            <w:r>
              <w:t xml:space="preserve">. </w:t>
            </w:r>
            <w:r/>
          </w:p>
          <w:p>
            <w:pPr>
              <w:pStyle w:val="622"/>
              <w:rPr>
                <w:highlight w:val="none"/>
              </w:rPr>
            </w:pPr>
            <w:r>
              <w:t xml:space="preserve">2. Внесение задатка осуществляется по следующим реквизитам: </w:t>
            </w:r>
            <w:r/>
          </w:p>
          <w:p>
            <w:r>
              <w:rPr>
                <w:highlight w:val="none"/>
              </w:rPr>
              <w:t xml:space="preserve">Гафуржонов Амиржон Муминжонович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40817810250224322533 Задатковый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ФИЛИАЛ "ЦЕНТРАЛЬНЫЙ" ПАО "СОВКОМБАНК"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633011, РОССИЙСКАЯ ФЕДЕРАЦИЯ, НОВОСИБИРСКАЯ ОБЛ,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БЕРДСК Г, ПОПОВА УЛ, 11 Телефон: 8-800-100-00-06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БИК 045004763 ИНН 4401116480 ОГРН 1144400000425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Корр/счет 30101810150040000763</w:t>
            </w:r>
            <w:r/>
          </w:p>
          <w:p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КПП 544543001</w:t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8.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Шаг аукциона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Лот № 1: </w:t>
            </w:r>
            <w:r>
              <w:t xml:space="preserve">10 %</w:t>
            </w:r>
            <w:r/>
            <w:r/>
          </w:p>
          <w:p>
            <w:pPr>
              <w:pStyle w:val="622"/>
            </w:pPr>
            <w:r/>
            <w:r/>
            <w:r/>
          </w:p>
          <w:p>
            <w:pPr>
              <w:pStyle w:val="622"/>
            </w:pPr>
            <w:r/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9.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Сообщение о продаже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Сообщение о проведении торгов включается в Единый федеральный реестр сведений о банкротстве в течении 10 рабочих дней с момента утверждения настоящего Положения.</w:t>
            </w:r>
            <w:r/>
          </w:p>
          <w:p>
            <w:pPr>
              <w:pStyle w:val="622"/>
            </w:pPr>
            <w:r>
              <w:t xml:space="preserve">Дата торгов назначается не позднее чем через 5 рабочих дней с момента опубликования сообщения о проведении торгов.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10.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Заявка на участие в торгах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Заявка на участие в торгах направляется, лицом, зарегистрированным на ЭП, с помощью программно-аппаратных средств сайта ЭП,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2"/>
            </w:pPr>
            <w:r>
              <w:t xml:space="preserve">Заявка на участие в торгах должна содержать следующие сведения:</w:t>
            </w:r>
            <w:r/>
          </w:p>
          <w:p>
            <w:pPr>
              <w:pStyle w:val="622"/>
            </w:pPr>
            <w:r>
              <w:t xml:space="preserve">1) наименование, организационно-правовую форму, место нахождения, почтовый адрес заявителя (для юридического лица), фамилию,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2"/>
            </w:pPr>
            <w:r>
              <w:t xml:space="preserve">2) номер контактного телефона, адрес электронной почты заявителя;</w:t>
            </w:r>
            <w:r/>
          </w:p>
          <w:p>
            <w:pPr>
              <w:pStyle w:val="622"/>
            </w:pPr>
            <w:r>
              <w:t xml:space="preserve">3) сведения о наличии или об отсутствии заинтересованности заявителя по отношению к должнику, кредиторам,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11.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Срок представления заявок на участие в торгах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12.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Определение участников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участию в торгах допускаются лица, своевременно подавшие заявку на участие в торгах и обеспечившие поступление задатка на счет до даты составления протокола об определении участников торгов. </w:t>
            </w:r>
            <w:r>
              <w:rPr>
                <w:sz w:val="20"/>
                <w:szCs w:val="20"/>
              </w:rPr>
            </w:r>
          </w:p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об определении участников торгов оформляется не позднее пяти календарных дней после окончания срока представления заявок на участие в торгах. </w:t>
            </w:r>
            <w:r>
              <w:rPr>
                <w:sz w:val="20"/>
                <w:szCs w:val="20"/>
              </w:rPr>
            </w:r>
          </w:p>
          <w:p>
            <w:pPr>
              <w:pStyle w:val="622"/>
            </w:pPr>
            <w:r>
              <w:t xml:space="preserve">В течение пяти календ</w:t>
            </w:r>
            <w:r>
              <w:t xml:space="preserve">арных дней со дня подписания протокола об определении участников торгов организатор торгов посредством программно-аппаратных средств сайта ЭП направляет каждому заявителю, чья заявка зарегистрирована в журнале заявок на участие в торгах и не отозвана до ок</w:t>
            </w:r>
            <w:r>
              <w:t xml:space="preserve">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Порядок проведения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Торги проводятся на электронной площадке в день и время, указанные в сообщении о продаже, путем повышения начальной цены продажи имущества на «шаг аукциона». </w:t>
            </w:r>
            <w:r>
              <w:rPr>
                <w:sz w:val="20"/>
                <w:szCs w:val="20"/>
              </w:rPr>
            </w:r>
          </w:p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Предложения о цене заявляются участниками торгов открыто на электронной площадке в ходе проведения торгов. </w:t>
            </w:r>
            <w:r>
              <w:rPr>
                <w:sz w:val="20"/>
                <w:szCs w:val="20"/>
              </w:rPr>
            </w:r>
          </w:p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</w:t>
            </w:r>
            <w:r>
              <w:rPr>
                <w:sz w:val="20"/>
                <w:szCs w:val="20"/>
              </w:rPr>
              <w:t xml:space="preserve">рги завершаются, если в течение одного часа с момента начала представления предложений о цене не поступило ни одного предложения о цене или если в течение тридцати минут после представления последнего предложения о цене не поступило следующее предложение. </w:t>
            </w:r>
            <w:r>
              <w:rPr>
                <w:sz w:val="20"/>
                <w:szCs w:val="20"/>
              </w:rPr>
            </w:r>
          </w:p>
          <w:p>
            <w:pPr>
              <w:pStyle w:val="6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Победителем аукциона признается участник торгов, предложивший наиболее высокую цену. </w:t>
            </w:r>
            <w:r>
              <w:rPr>
                <w:sz w:val="20"/>
                <w:szCs w:val="20"/>
              </w:rPr>
            </w:r>
          </w:p>
          <w:p>
            <w:pPr>
              <w:pStyle w:val="622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14.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Подведение результатов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Результаты торгов подводятся путем оформления протокола о результатах проведения торгов или решения о признании торгов несостоявшимися. 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2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22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Условия возврата задатка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Условия оплаты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</w:t>
            </w:r>
            <w:r/>
          </w:p>
          <w:p>
            <w:pPr>
              <w:rPr>
                <w:highlight w:val="none"/>
              </w:rPr>
            </w:pPr>
            <w:r>
              <w:t xml:space="preserve">Получатель</w:t>
            </w:r>
            <w:r>
              <w:rPr>
                <w:lang w:val="en-US"/>
              </w:rPr>
              <w:t xml:space="preserve">: </w:t>
            </w:r>
            <w:r>
              <w:rPr>
                <w:lang w:val="en-US"/>
              </w:rPr>
            </w:r>
            <w:r>
              <w:rPr>
                <w:highlight w:val="none"/>
              </w:rPr>
              <w:t xml:space="preserve">Гафуржонов Амиржон Муминжонович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40817810250224322533 Задатковый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ФИЛИАЛ "ЦЕНТРАЛЬНЫЙ" ПАО "СОВКОМБАНК"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633011, РОССИЙСКАЯ ФЕДЕРАЦИЯ, НОВОСИБИРСКАЯ ОБЛ,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БЕРДСК Г, ПОПОВА УЛ, 11 Телефон: 8-800-100-00-06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 045004763 ИНН 4401116480 ОГРН 1144400000425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Корр/счет 30101810150040000763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КПП 544543001</w:t>
            </w:r>
            <w:r/>
            <w:r/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/>
          </w:p>
          <w:p>
            <w:pPr>
              <w:pStyle w:val="622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2"/>
            </w:pPr>
            <w:r>
              <w:t xml:space="preserve">цена продажи имущества;</w:t>
            </w:r>
            <w:r/>
          </w:p>
          <w:p>
            <w:pPr>
              <w:pStyle w:val="62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62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2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9" w:tooltip="consultantplus://offline/ref=C170E87E5106903B2C2693164E83ABCA2276C913842C8ACC75FF6C560D0667AC2FE2ED39A0D15019R9r5M" w:history="1">
              <w:r>
                <w:rPr>
                  <w:rStyle w:val="624"/>
                  <w:color w:val="auto"/>
                  <w:u w:val="none"/>
                </w:rPr>
                <w:t xml:space="preserve">законодательством</w:t>
              </w:r>
            </w:hyperlink>
            <w:r>
              <w:t xml:space="preserve"> Российской Федерации.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Проведение повторных торгов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В случае признания торгов несостоявшимися и незаключения договора купли-продаж</w:t>
            </w:r>
            <w: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2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dxa"/>
            <w:textDirection w:val="lrTb"/>
            <w:noWrap w:val="false"/>
          </w:tcPr>
          <w:p>
            <w:pPr>
              <w:pStyle w:val="62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19" w:type="dxa"/>
            <w:textDirection w:val="lrTb"/>
            <w:noWrap w:val="false"/>
          </w:tcPr>
          <w:p>
            <w:pPr>
              <w:pStyle w:val="62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разделом.</w:t>
            </w:r>
            <w:r/>
          </w:p>
          <w:p>
            <w:pPr>
              <w:pStyle w:val="622"/>
            </w:pPr>
            <w:r>
              <w:t xml:space="preserve">Сообщение о продаже имущества посредством публичного предложения включается в Единый</w:t>
            </w:r>
            <w:r>
              <w:t xml:space="preserve"> федеральный реестр сведений о банкротстве в течение 10 рабочих дней с момента признания повторных торгов несостоявшимися и незаключения договора купли-продажи с единственным участником повторных торгов либо с момента незаключения договора купли-продажи по</w:t>
            </w:r>
            <w:r/>
          </w:p>
          <w:p>
            <w:pPr>
              <w:pStyle w:val="622"/>
            </w:pPr>
            <w:r>
              <w:t xml:space="preserve">результатам повторных торгов и должно предусматривать начало приема заявок через 5 рабочих дней с момента опубликования сообщения.</w:t>
            </w:r>
            <w:r/>
          </w:p>
          <w:p>
            <w:pPr>
              <w:pStyle w:val="62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22"/>
            </w:pPr>
            <w:r>
              <w:t xml:space="preserve">Величина снижения начальной цены продажи имущества должника устанавливается в размере 10 % начальной цены продажи лота, установленной на повторных торгах. Минимальная цена предложения, по которой может быть</w:t>
            </w:r>
            <w:r/>
          </w:p>
          <w:p>
            <w:pPr>
              <w:pStyle w:val="622"/>
            </w:pPr>
            <w:r>
              <w:t xml:space="preserve">продано имущество (цена отсечения), составляет 30% начальной цены продажи имущества, установленной на повторных торгах.</w:t>
            </w:r>
            <w:r/>
          </w:p>
          <w:p>
            <w:pPr>
              <w:pStyle w:val="622"/>
            </w:pPr>
            <w:r>
              <w:t xml:space="preserve">Срок, по истечении которого последовательно снижается начальная цена – каждые 3 календарных дня.</w:t>
            </w:r>
            <w:r/>
          </w:p>
          <w:p>
            <w:pPr>
              <w:pStyle w:val="622"/>
            </w:pPr>
            <w:r>
              <w:t xml:space="preserve">Размер задатка составляет  начальной цены продажи лота, действующей в период подачи заявки.</w:t>
            </w:r>
            <w:r/>
          </w:p>
          <w:p>
            <w:pPr>
              <w:pStyle w:val="622"/>
            </w:pPr>
            <w:r>
              <w:t xml:space="preserve">Задаток должен быть внесен заявителем в срок, обеспечивающий его поступление на счет не позднее указанной в сообщении о проведении торгов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2"/>
            </w:pPr>
            <w:r>
              <w:t xml:space="preserve">Заявка на участие в торгах должна содержать предложение о цене имущества должника, которая не ниже начальной цены продажи имущества должника, действующей в период подачи заявки. 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</w:t>
            </w:r>
            <w:r>
              <w:t xml:space="preserve">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r/>
          </w:p>
          <w:p>
            <w:pPr>
              <w:pStyle w:val="622"/>
            </w:pPr>
            <w:r>
              <w:t xml:space="preserve"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</w:t>
            </w:r>
            <w:r>
              <w:t xml:space="preserve">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  <w:r/>
          </w:p>
          <w:p>
            <w:pPr>
              <w:pStyle w:val="622"/>
            </w:pPr>
            <w:r>
              <w:t xml:space="preserve">В случае, если</w:t>
            </w:r>
            <w: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</w:t>
            </w:r>
            <w:r/>
          </w:p>
          <w:p>
            <w:pPr>
              <w:pStyle w:val="622"/>
            </w:pPr>
            <w:r>
              <w:t xml:space="preserve">В случае не реализации имущества на этапе торгов, начальная цена для которого установлена в размере цены отсечения, торги признаются несостоявшимися, дальнейшего снижения цены не происходит.</w:t>
            </w:r>
            <w:r/>
          </w:p>
          <w:p>
            <w:pPr>
              <w:pStyle w:val="622"/>
            </w:pPr>
            <w:r>
              <w:t xml:space="preserve">Результаты торгов подводятся путем оформления протокола о результатах проведения торгов или решения о признании торгов несостоявшимися, которые оформляются на следующий рабочий день по окончании любого п</w:t>
            </w:r>
            <w:r>
              <w:t xml:space="preserve">ериода проведения торгов, если к участию в торгах допущен хотя бы один участник, по окончании последнего периода проведения торгов, если к участию в торгах не допущен ни один заявитель на участие в торгах, а также при отсутствии заявок на участие в торгах.</w:t>
            </w:r>
            <w:r/>
          </w:p>
        </w:tc>
      </w:tr>
    </w:tbl>
    <w:p>
      <w:pPr>
        <w:pStyle w:val="622"/>
      </w:pPr>
      <w:r/>
      <w:r/>
    </w:p>
    <w:p>
      <w:pPr>
        <w:pStyle w:val="622"/>
        <w:jc w:val="both"/>
      </w:pPr>
      <w:r/>
      <w:r/>
    </w:p>
    <w:p>
      <w:pPr>
        <w:pStyle w:val="622"/>
        <w:ind w:left="-567"/>
        <w:jc w:val="both"/>
      </w:pPr>
      <w:r>
        <w:t xml:space="preserve">Все иные условия проведения торгов про продаже имущества, не указанные в настоящем </w:t>
      </w:r>
      <w:r>
        <w:t xml:space="preserve">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33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3"/>
        <w:gridCol w:w="64"/>
        <w:gridCol w:w="4648"/>
      </w:tblGrid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pStyle w:val="622"/>
            </w:pPr>
            <w:r/>
            <w:r/>
          </w:p>
          <w:p>
            <w:pPr>
              <w:pStyle w:val="622"/>
              <w:rPr>
                <w:lang w:val="en-US"/>
              </w:rPr>
            </w:pPr>
            <w:r>
              <w:t xml:space="preserve">Финансовый</w:t>
            </w:r>
            <w:r>
              <w:rPr>
                <w:lang w:val="en-US"/>
              </w:rPr>
              <w:t xml:space="preserve"> </w:t>
            </w:r>
            <w:r>
              <w:t xml:space="preserve">управляющий</w:t>
            </w:r>
            <w:r>
              <w:rPr>
                <w:bCs/>
                <w:lang w:val="en-US"/>
              </w:rPr>
              <w:br/>
            </w:r>
            <w:r>
              <w:rPr>
                <w:lang w:val="en-US"/>
              </w:rPr>
              <w:t xml:space="preserve">Гафуржонова Амиржона Муминжоновича</w:t>
            </w:r>
            <w:r>
              <w:rPr>
                <w:lang w:val="en-US"/>
              </w:rPr>
            </w:r>
          </w:p>
        </w:tc>
        <w:tc>
          <w:tcPr>
            <w:tcW w:w="64" w:type="dxa"/>
            <w:vAlign w:val="center"/>
            <w:textDirection w:val="lrTb"/>
            <w:noWrap w:val="false"/>
          </w:tcPr>
          <w:p>
            <w:pPr>
              <w:pStyle w:val="622"/>
              <w:rPr>
                <w:lang w:val="en-US"/>
              </w:rPr>
            </w:pPr>
            <w:r>
              <w:rPr>
                <w:lang w:val="en-US"/>
              </w:rPr>
              <w:t xml:space="preserve"> </w:t>
            </w:r>
            <w:r>
              <w:rPr>
                <w:lang w:val="en-US"/>
              </w:rPr>
            </w:r>
          </w:p>
        </w:tc>
        <w:tc>
          <w:tcPr>
            <w:tcW w:w="4648" w:type="dxa"/>
            <w:textDirection w:val="lrTb"/>
            <w:noWrap w:val="false"/>
          </w:tcPr>
          <w:p>
            <w:pPr>
              <w:pStyle w:val="634"/>
              <w:jc w:val="right"/>
              <w:spacing w:before="240" w:after="240"/>
              <w:rPr>
                <w:sz w:val="20"/>
                <w:szCs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93345</wp:posOffset>
                      </wp:positionV>
                      <wp:extent cx="471170" cy="613410"/>
                      <wp:effectExtent l="0" t="0" r="0" b="0"/>
                      <wp:wrapSquare wrapText="bothSides"/>
                      <wp:docPr id="1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Изображение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1170" cy="6134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;o:allowoverlap:true;o:allowincell:false;mso-position-horizontal-relative:text;margin-left:10.45pt;mso-position-horizontal:absolute;mso-position-vertical-relative:text;margin-top:7.35pt;mso-position-vertical:absolute;width:37.10pt;height:48.30pt;mso-wrap-distance-left:0.00pt;mso-wrap-distance-top:0.00pt;mso-wrap-distance-right:0.00pt;mso-wrap-distance-bottom:0.00pt;" stroked="false">
                      <v:path textboxrect="0,0,0,0"/>
                      <w10:wrap type="square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22"/>
        <w:jc w:val="both"/>
      </w:pPr>
      <w:r/>
      <w:r/>
    </w:p>
    <w:p>
      <w:pPr>
        <w:pStyle w:val="622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 Unicode MS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righ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3">
    <w:name w:val="No List"/>
    <w:uiPriority w:val="99"/>
    <w:semiHidden/>
    <w:unhideWhenUsed/>
  </w:style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character" w:styleId="48">
    <w:name w:val="Caption Char"/>
    <w:basedOn w:val="623"/>
    <w:link w:val="628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character" w:styleId="623" w:default="1">
    <w:name w:val="Default Paragraph Font"/>
    <w:uiPriority w:val="1"/>
    <w:unhideWhenUsed/>
    <w:qFormat/>
  </w:style>
  <w:style w:type="character" w:styleId="624">
    <w:name w:val="Hyperlink"/>
    <w:uiPriority w:val="99"/>
    <w:unhideWhenUsed/>
    <w:rPr>
      <w:color w:val="0000ff"/>
      <w:u w:val="single"/>
    </w:rPr>
  </w:style>
  <w:style w:type="paragraph" w:styleId="625">
    <w:name w:val="Заголовок"/>
    <w:basedOn w:val="622"/>
    <w:next w:val="626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626">
    <w:name w:val="Body Text"/>
    <w:basedOn w:val="622"/>
    <w:pPr>
      <w:spacing w:before="0" w:after="140" w:line="276" w:lineRule="auto"/>
    </w:pPr>
  </w:style>
  <w:style w:type="paragraph" w:styleId="627">
    <w:name w:val="List"/>
    <w:basedOn w:val="626"/>
    <w:rPr>
      <w:rFonts w:cs="Arial Unicode MS"/>
    </w:rPr>
  </w:style>
  <w:style w:type="paragraph" w:styleId="628">
    <w:name w:val="Caption"/>
    <w:basedOn w:val="622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629">
    <w:name w:val="Указатель"/>
    <w:basedOn w:val="622"/>
    <w:qFormat/>
    <w:pPr>
      <w:suppressLineNumbers/>
    </w:pPr>
    <w:rPr>
      <w:rFonts w:cs="Arial Unicode MS"/>
    </w:rPr>
  </w:style>
  <w:style w:type="paragraph" w:styleId="630">
    <w:name w:val="Заголовок (user)"/>
    <w:basedOn w:val="622"/>
    <w:next w:val="626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631">
    <w:name w:val="Указатель (user)"/>
    <w:basedOn w:val="622"/>
    <w:qFormat/>
    <w:pPr>
      <w:suppressLineNumbers/>
    </w:pPr>
    <w:rPr>
      <w:rFonts w:cs="Arial Unicode MS"/>
    </w:rPr>
  </w:style>
  <w:style w:type="paragraph" w:styleId="632" w:customStyle="1">
    <w:name w:val="Обычный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633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634" w:customStyle="1">
    <w:name w:val="Обычный (веб)"/>
    <w:basedOn w:val="622"/>
    <w:qFormat/>
    <w:pPr>
      <w:spacing w:before="240" w:after="240"/>
      <w:widowControl/>
    </w:pPr>
    <w:rPr>
      <w:sz w:val="24"/>
      <w:szCs w:val="24"/>
    </w:rPr>
  </w:style>
  <w:style w:type="paragraph" w:styleId="635" w:customStyle="1">
    <w:name w:val="Default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636">
    <w:name w:val="List Paragraph"/>
    <w:basedOn w:val="622"/>
    <w:uiPriority w:val="34"/>
    <w:qFormat/>
    <w:pPr>
      <w:contextualSpacing/>
      <w:ind w:left="720"/>
      <w:spacing w:before="0" w:after="0"/>
    </w:pPr>
  </w:style>
  <w:style w:type="numbering" w:styleId="637" w:default="1">
    <w:name w:val="Без списка (user)"/>
    <w:uiPriority w:val="99"/>
    <w:semiHidden/>
    <w:unhideWhenUsed/>
    <w:qFormat/>
  </w:style>
  <w:style w:type="table" w:styleId="63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39">
    <w:name w:val="Table Grid"/>
    <w:basedOn w:val="63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C170E87E5106903B2C2693164E83ABCA2276C913842C8ACC75FF6C560D0667AC2FE2ED39A0D15019R9r5M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dc:language>ru-RU</dc:language>
  <cp:lastModifiedBy>alesh</cp:lastModifiedBy>
  <cp:revision>22</cp:revision>
  <dcterms:created xsi:type="dcterms:W3CDTF">2024-09-06T16:05:00Z</dcterms:created>
  <dcterms:modified xsi:type="dcterms:W3CDTF">2026-05-05T14:44:15Z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