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pStyle w:val="69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W w:w="4950" w:type="pct"/>
            <w:textDirection w:val="lrTb"/>
            <w:noWrap w:val="false"/>
          </w:tcPr>
          <w:p>
            <w:pPr>
              <w:pStyle w:val="6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</w:rPr>
              <w:t xml:space="preserve">управляющий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Михайлова Александра Николаевича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К</w:t>
            </w:r>
            <w:r>
              <w:rPr>
                <w:sz w:val="16"/>
                <w:szCs w:val="16"/>
                <w:lang w:val="en-US"/>
              </w:rPr>
              <w:t xml:space="preserve">о</w:t>
            </w:r>
            <w:r>
              <w:rPr>
                <w:sz w:val="16"/>
                <w:szCs w:val="16"/>
                <w:lang w:val="en-US"/>
              </w:rPr>
              <w:t xml:space="preserve">с</w:t>
            </w:r>
            <w:r>
              <w:rPr>
                <w:sz w:val="16"/>
                <w:szCs w:val="16"/>
                <w:lang w:val="en-US"/>
              </w:rPr>
              <w:t xml:space="preserve">т</w:t>
            </w:r>
            <w:r>
              <w:rPr>
                <w:sz w:val="16"/>
                <w:szCs w:val="16"/>
                <w:lang w:val="en-US"/>
              </w:rPr>
              <w:t xml:space="preserve">о</w:t>
            </w:r>
            <w:r>
              <w:rPr>
                <w:sz w:val="16"/>
                <w:szCs w:val="16"/>
                <w:lang w:val="en-US"/>
              </w:rPr>
              <w:t xml:space="preserve">ч</w:t>
            </w:r>
            <w:r>
              <w:rPr>
                <w:sz w:val="16"/>
                <w:szCs w:val="16"/>
                <w:lang w:val="en-US"/>
              </w:rPr>
              <w:t xml:space="preserve">к</w:t>
            </w:r>
            <w:r>
              <w:rPr>
                <w:sz w:val="16"/>
                <w:szCs w:val="16"/>
                <w:lang w:val="en-US"/>
              </w:rPr>
              <w:t xml:space="preserve">и</w:t>
            </w:r>
            <w:r>
              <w:rPr>
                <w:sz w:val="16"/>
                <w:szCs w:val="16"/>
                <w:lang w:val="en-US"/>
              </w:rPr>
              <w:t xml:space="preserve">н</w:t>
            </w:r>
            <w:r>
              <w:rPr>
                <w:sz w:val="16"/>
                <w:szCs w:val="16"/>
                <w:lang w:val="en-US"/>
              </w:rPr>
              <w:t xml:space="preserve">а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М</w:t>
            </w:r>
            <w:r>
              <w:rPr>
                <w:sz w:val="16"/>
                <w:szCs w:val="16"/>
                <w:lang w:val="en-US"/>
              </w:rPr>
              <w:t xml:space="preserve">а</w:t>
            </w:r>
            <w:r>
              <w:rPr>
                <w:sz w:val="16"/>
                <w:szCs w:val="16"/>
                <w:lang w:val="en-US"/>
              </w:rPr>
              <w:t xml:space="preserve">р</w:t>
            </w:r>
            <w:r>
              <w:rPr>
                <w:sz w:val="16"/>
                <w:szCs w:val="16"/>
                <w:lang w:val="en-US"/>
              </w:rPr>
              <w:t xml:space="preserve">и</w:t>
            </w:r>
            <w:r>
              <w:rPr>
                <w:sz w:val="16"/>
                <w:szCs w:val="16"/>
                <w:lang w:val="en-US"/>
              </w:rPr>
              <w:t xml:space="preserve">я</w:t>
            </w:r>
            <w:r>
              <w:rPr>
                <w:sz w:val="16"/>
                <w:szCs w:val="16"/>
                <w:lang w:val="en-US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 xml:space="preserve">В</w:t>
            </w:r>
            <w:r>
              <w:rPr>
                <w:sz w:val="16"/>
                <w:szCs w:val="16"/>
                <w:lang w:val="en-US"/>
              </w:rPr>
              <w:t xml:space="preserve">а</w:t>
            </w:r>
            <w:r>
              <w:rPr>
                <w:sz w:val="16"/>
                <w:szCs w:val="16"/>
                <w:lang w:val="en-US"/>
              </w:rPr>
              <w:t xml:space="preserve">с</w:t>
            </w:r>
            <w:r>
              <w:rPr>
                <w:sz w:val="16"/>
                <w:szCs w:val="16"/>
                <w:lang w:val="en-US"/>
              </w:rPr>
              <w:t xml:space="preserve">и</w:t>
            </w:r>
            <w:r>
              <w:rPr>
                <w:sz w:val="16"/>
                <w:szCs w:val="16"/>
                <w:lang w:val="en-US"/>
              </w:rPr>
              <w:t xml:space="preserve">л</w:t>
            </w:r>
            <w:r>
              <w:rPr>
                <w:sz w:val="16"/>
                <w:szCs w:val="16"/>
                <w:lang w:val="en-US"/>
              </w:rPr>
              <w:t xml:space="preserve">ь</w:t>
            </w:r>
            <w:r>
              <w:rPr>
                <w:sz w:val="16"/>
                <w:szCs w:val="16"/>
                <w:lang w:val="en-US"/>
              </w:rPr>
              <w:t xml:space="preserve">е</w:t>
            </w:r>
            <w:r>
              <w:rPr>
                <w:sz w:val="16"/>
                <w:szCs w:val="16"/>
                <w:lang w:val="en-US"/>
              </w:rPr>
              <w:t xml:space="preserve">в</w:t>
            </w:r>
            <w:r>
              <w:rPr>
                <w:sz w:val="16"/>
                <w:szCs w:val="16"/>
                <w:lang w:val="en-US"/>
              </w:rPr>
              <w:t xml:space="preserve">н</w:t>
            </w:r>
            <w:r>
              <w:rPr>
                <w:sz w:val="16"/>
                <w:szCs w:val="16"/>
                <w:lang w:val="en-US"/>
              </w:rPr>
              <w:t xml:space="preserve">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</w:t>
            </w:r>
            <w:r>
              <w:rPr>
                <w:sz w:val="16"/>
                <w:szCs w:val="16"/>
              </w:rPr>
              <w:t xml:space="preserve">mkostochkina00@mail.ru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2" name="_x0000_i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1" o:spid="_x0000_s1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t xml:space="preserve">, тел.:</w:t>
            </w:r>
            <w:r>
              <w:rPr>
                <w:rFonts w:ascii="Times New Roman" w:hAnsi="Times New Roman" w:eastAsia="Times New Roman" w:cs="Times New Roman"/>
                <w:color w:val="333333"/>
                <w:sz w:val="16"/>
                <w:szCs w:val="16"/>
                <w:highlight w:val="none"/>
              </w:rPr>
              <w:t xml:space="preserve">+79600091050</w:t>
            </w:r>
            <w:r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 </w:t>
            </w:r>
            <w:r>
              <w:rPr>
                <w:sz w:val="16"/>
                <w:szCs w:val="16"/>
              </w:rPr>
              <w:t xml:space="preserve">, эл. почта: </w:t>
            </w:r>
            <w:r>
              <w:rPr>
                <w:sz w:val="16"/>
                <w:szCs w:val="16"/>
              </w:rPr>
              <w:t xml:space="preserve">mkostochkina00@mail.ru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blCellSpacing w:w="0" w:type="dxa"/>
        </w:trPr>
        <w:tc>
          <w:tcPr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 </w:t>
            </w:r>
            <w:r>
              <w:rPr>
                <w:sz w:val="20"/>
                <w:szCs w:val="20"/>
                <w:lang w:val="en-US"/>
              </w:rPr>
            </w:r>
          </w:p>
        </w:tc>
      </w:tr>
    </w:tbl>
    <w:p>
      <w:pPr>
        <w:rPr>
          <w:vanish/>
          <w:sz w:val="20"/>
          <w:szCs w:val="20"/>
          <w:lang w:val="en-US"/>
        </w:rPr>
      </w:pPr>
      <w:r>
        <w:rPr>
          <w:vanish/>
          <w:sz w:val="20"/>
          <w:szCs w:val="20"/>
          <w:lang w:val="en-US"/>
        </w:rPr>
      </w:r>
      <w:r>
        <w:rPr>
          <w:vanish/>
          <w:sz w:val="20"/>
          <w:szCs w:val="20"/>
          <w:lang w:val="en-US"/>
        </w:rPr>
      </w:r>
    </w:p>
    <w:tbl>
      <w:tblPr>
        <w:tblW w:w="5000" w:type="pct"/>
        <w:tblCellSpacing w:w="0" w:type="dxa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</w:t>
            </w:r>
            <w:r>
              <w:rPr>
                <w:sz w:val="20"/>
                <w:szCs w:val="20"/>
              </w:rPr>
              <w:t xml:space="preserve">23.04.2026</w:t>
            </w:r>
            <w:r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</w:r>
          </w:p>
        </w:tc>
        <w:tc>
          <w:tcPr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Старый Оскол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97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Республики Коми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А29-54/2026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18.03.2026</w:t>
            </w:r>
            <w:r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18.03.2026</w:t>
            </w:r>
            <w:r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97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706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97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Михайлов Александр Николаевич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22.03.1975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с.Слудка Прилузский р-н Коми АССР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110110744756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015-929-175 64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Республика Коми, р-н Прилузский, с. Прокопьевка, ул. Юбилейная, д. 19</w:t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</w:t>
      </w:r>
      <w:r>
        <w:rPr>
          <w:sz w:val="20"/>
          <w:szCs w:val="20"/>
        </w:rPr>
        <w:t xml:space="preserve">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</w:t>
      </w:r>
      <w:r>
        <w:rPr>
          <w:sz w:val="20"/>
          <w:szCs w:val="20"/>
        </w:rPr>
        <w:t xml:space="preserve">отказаться от применения затратного и доходного подхода по причи</w:t>
      </w:r>
      <w:r>
        <w:rPr>
          <w:sz w:val="20"/>
          <w:szCs w:val="20"/>
        </w:rPr>
        <w:t xml:space="preserve">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</w:t>
      </w:r>
      <w:r>
        <w:rPr>
          <w:sz w:val="20"/>
          <w:szCs w:val="20"/>
        </w:rPr>
        <w:t xml:space="preserve">нки путем сравнительного анализа рыночных цен финансовый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</w:t>
      </w:r>
      <w:r>
        <w:rPr>
          <w:sz w:val="20"/>
        </w:rPr>
        <w:t xml:space="preserve">avito.ru,</w:t>
      </w:r>
      <w:r>
        <w:rPr>
          <w:sz w:val="20"/>
        </w:rPr>
        <w:t xml:space="preserve"> авто.ру</w:t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  <w:t xml:space="preserve">В резуль</w:t>
      </w:r>
      <w:r>
        <w:rPr>
          <w:sz w:val="20"/>
          <w:szCs w:val="20"/>
        </w:rPr>
        <w:t xml:space="preserve">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</w:t>
      </w:r>
      <w:r>
        <w:rPr>
          <w:sz w:val="20"/>
          <w:szCs w:val="20"/>
        </w:rPr>
        <w:t xml:space="preserve">23.04.2026</w:t>
      </w:r>
      <w:r>
        <w:rPr>
          <w:sz w:val="20"/>
          <w:szCs w:val="20"/>
        </w:rPr>
        <w:t xml:space="preserve"> г.: </w:t>
      </w:r>
      <w:r>
        <w:rPr>
          <w:sz w:val="20"/>
          <w:szCs w:val="20"/>
        </w:rPr>
      </w:r>
    </w:p>
    <w:tbl>
      <w:tblPr>
        <w:tblW w:w="5000" w:type="pct"/>
        <w:tblCellSpacing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559"/>
        <w:gridCol w:w="5335"/>
        <w:gridCol w:w="4012"/>
      </w:tblGrid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2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025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82" w:type="pct"/>
            <w:vAlign w:val="center"/>
            <w:textDirection w:val="lrTb"/>
            <w:noWrap w:val="false"/>
          </w:tcPr>
          <w:p>
            <w:pPr>
              <w:pStyle w:val="706"/>
              <w:numPr>
                <w:ilvl w:val="0"/>
                <w:numId w:val="7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2693" w:type="pct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ВАЗ 21041-030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2008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Р082УО11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</w:t>
            </w:r>
            <w:r>
              <w:rPr>
                <w:sz w:val="20"/>
                <w:szCs w:val="20"/>
              </w:rPr>
              <w:t xml:space="preserve">X</w:t>
            </w:r>
            <w:r>
              <w:rPr>
                <w:sz w:val="20"/>
                <w:szCs w:val="20"/>
              </w:rPr>
              <w:t xml:space="preserve">W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9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</w:t>
            </w:r>
            <w:r>
              <w:rPr>
                <w:sz w:val="20"/>
                <w:szCs w:val="20"/>
              </w:rPr>
              <w:t xml:space="preserve">универсал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X</w:t>
            </w:r>
            <w:r>
              <w:rPr>
                <w:sz w:val="20"/>
                <w:szCs w:val="20"/>
              </w:rPr>
              <w:t xml:space="preserve">W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4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9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Темно-синий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1510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065</w:t>
            </w: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70000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70000</w:t>
            </w:r>
            <w:r/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  <w:highlight w:val="none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50 000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320699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599914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300469" cy="53206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418.95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2" w:tooltip="https://www.avito.ru/kazan/avtomobili/vaz_lada_2104_1.6_mt_2008_bityy_89_760_km_8010627192?context=H4sIAAAAAAAA_wE_AMD_YToyOntzOjEzOiJsb2NhbFByaW9yaXR5IjtiOjA7czoxOiJ4IjtzOjE2OiI3c1FqTGRLNTFBTnNCR2VtIjt9R9VPMD8AAAA" w:history="1">
        <w:r>
          <w:rPr>
            <w:rStyle w:val="707"/>
            <w:sz w:val="20"/>
            <w:szCs w:val="20"/>
            <w:highlight w:val="none"/>
          </w:rPr>
          <w:t xml:space="preserve">https://www.avito.ru/kazan/avtomobili/vaz_lada_2104_1.6_mt_2008_bityy_89_760_km_8010627192?context=H4sIAAAAAAAA_wE_AMD_YToyOntzOjEzOiJsb2NhbFByaW9yaXR5IjtiOjA7czoxOiJ4IjtzOjE2OiI3c1FqTGRLNTFBTnNCR2VtIjt9R9VPMD8AAAA</w:t>
        </w:r>
        <w:r>
          <w:rPr>
            <w:rStyle w:val="707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</w:t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55 000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79591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729442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300469" cy="57959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456.37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4" w:tooltip="https://auto.ru/cars/used/sale/vaz/2104/1132188755-4ee6cbfa/" w:history="1">
        <w:r>
          <w:rPr>
            <w:rStyle w:val="707"/>
            <w:sz w:val="20"/>
            <w:szCs w:val="20"/>
            <w:highlight w:val="none"/>
          </w:rPr>
          <w:t xml:space="preserve">https://auto.ru/cars/used/sale/vaz/2104/1132188755-4ee6cbfa/</w:t>
        </w:r>
        <w:r>
          <w:rPr>
            <w:rStyle w:val="707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 </w:t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70 000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587209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515627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300469" cy="55872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39.94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6" w:tooltip="https://www.avito.ru/tolyatti/avtomobili/vaz_lada_2104_1.6_mt_2008_20_000_km_8042151404?context=H4sIAAAAAAAA_wE_AMD_YToyOntzOjEzOiJsb2NhbFByaW9yaXR5IjtiOjA7czoxOiJ4IjtzOjE2OiI3c1FqTGRLNTFBTnNCR2VtIjt9R9VPMD8AAAA" w:history="1">
        <w:r>
          <w:rPr>
            <w:rStyle w:val="707"/>
            <w:sz w:val="20"/>
            <w:szCs w:val="20"/>
            <w:highlight w:val="none"/>
          </w:rPr>
          <w:t xml:space="preserve">https://www.avito.ru/tolyatti/avtomobili/vaz_lada_2104_1.6_mt_2008_20_000_km_8042151404?context=H4sIAAAAAAAA_wE_AMD_YToyOntzOjEzOiJsb2NhbFByaW9yaXR5IjtiOjA7czoxOiJ4IjtzOjE2OiI3c1FqTGRLNTFBTnNCR2VtIjt9R9VPMD8AAAA</w:t>
        </w:r>
        <w:r>
          <w:rPr>
            <w:rStyle w:val="707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</w:t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95 000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643366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260712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300469" cy="56433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444.36pt;mso-wrap-distance-left:0.00pt;mso-wrap-distance-top:0.00pt;mso-wrap-distance-right:0.00pt;mso-wrap-distance-bottom:0.00pt;" stroked="false">
                <v:path textboxrect="0,0,0,0"/>
                <v:imagedata r:id="rId1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8" w:tooltip="https://auto.ru/cars/used/sale/vaz/2104/1124549882-76e20daf/" w:history="1">
        <w:r>
          <w:rPr>
            <w:rStyle w:val="707"/>
            <w:sz w:val="20"/>
            <w:szCs w:val="20"/>
            <w:highlight w:val="none"/>
          </w:rPr>
          <w:t xml:space="preserve">https://auto.ru/cars/used/sale/vaz/2104/1124549882-76e20daf/</w:t>
        </w:r>
        <w:r>
          <w:rPr>
            <w:rStyle w:val="707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  </w:t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80 000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087613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625096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300469" cy="50876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96.10pt;height:400.60pt;mso-wrap-distance-left:0.00pt;mso-wrap-distance-top:0.00pt;mso-wrap-distance-right:0.00pt;mso-wrap-distance-bottom:0.00pt;" stroked="false">
                <v:path textboxrect="0,0,0,0"/>
                <v:imagedata r:id="rId19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20" w:tooltip="https://www.avito.ru/dmitrov/avtomobili/vaz_lada_2104_1.6_mt_2008_bityy_128_000_km_7878584178?context=H4sIAAAAAAAA_wE_AMD_YToyOntzOjEzOiJsb2NhbFByaW9yaXR5IjtiOjA7czoxOiJ4IjtzOjE2OiI3c1FqTGRLNTFBTnNCR2VtIjt9R9VPMD8AAAA" w:history="1">
        <w:r>
          <w:rPr>
            <w:rStyle w:val="707"/>
            <w:sz w:val="20"/>
            <w:szCs w:val="20"/>
            <w:highlight w:val="none"/>
          </w:rPr>
          <w:t xml:space="preserve">https://www.avito.ru/dmitrov/avtomobili/vaz_lada_2104_1.6_mt_2008_bityy_128_000_km_7878584178?context=H4sIAAAAAAAA_wE_AMD_YToyOntzOjEzOiJsb2NhbFByaW9yaXR5IjtiOjA7czoxOiJ4IjtzOjE2OiI3c1FqTGRLNTFBTnNCR2VtIjt9R9VPMD8AAAA</w:t>
        </w:r>
        <w:r>
          <w:rPr>
            <w:rStyle w:val="707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</w:t>
      </w:r>
      <w:r>
        <w:rPr>
          <w:sz w:val="20"/>
          <w:szCs w:val="20"/>
        </w:rPr>
        <w:t xml:space="preserve">08</w:t>
      </w:r>
      <w:r>
        <w:rPr>
          <w:sz w:val="20"/>
          <w:szCs w:val="20"/>
        </w:rPr>
        <w:t xml:space="preserve">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50 000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55 000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70 000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95 000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80 000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  <w:t xml:space="preserve">70000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2008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i/>
          <w:iCs/>
          <w:sz w:val="20"/>
          <w:szCs w:val="20"/>
          <w:u w:val="single"/>
        </w:rPr>
      </w:r>
      <w:r>
        <w:rPr>
          <w:sz w:val="20"/>
          <w:szCs w:val="20"/>
        </w:rPr>
      </w:r>
      <w:r>
        <w:rPr>
          <w:sz w:val="20"/>
          <w:szCs w:val="20"/>
        </w:rPr>
        <w:t xml:space="preserve">70000</w:t>
      </w:r>
      <w:r/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153025" cy="6877050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020872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5153024" cy="68770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05.75pt;height:541.50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r/>
      <w:r/>
      <w:r/>
    </w:p>
    <w:p>
      <w:pPr>
        <w:pStyle w:val="698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7644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257247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740045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1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193993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25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400627"/>
                <wp:effectExtent l="0" t="0" r="0" b="0"/>
                <wp:docPr id="1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622745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6300469" cy="84006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width:496.10pt;height:661.47pt;mso-wrap-distance-left:0.00pt;mso-wrap-distance-top:0.00pt;mso-wrap-distance-right:0.00pt;mso-wrap-distance-bottom:0.00pt;" stroked="false">
                <v:path textboxrect="0,0,0,0"/>
                <v:imagedata r:id="rId2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97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725352"/>
                <wp:effectExtent l="0" t="0" r="0" b="0"/>
                <wp:docPr id="1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06182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6300469" cy="4725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width:496.10pt;height:372.07pt;mso-wrap-distance-left:0.00pt;mso-wrap-distance-top:0.00pt;mso-wrap-distance-right:0.00pt;mso-wrap-distance-bottom:0.00pt;" stroked="false">
                <v:path textboxrect="0,0,0,0"/>
                <v:imagedata r:id="rId27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tbl>
      <w:tblPr>
        <w:tblW w:w="5000" w:type="pct"/>
        <w:tblCellSpacing w:w="0" w:type="dxa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18"/>
        <w:gridCol w:w="1522"/>
        <w:gridCol w:w="3882"/>
      </w:tblGrid>
      <w:tr>
        <w:tblPrEx/>
        <w:trPr>
          <w:tblCellSpacing w:w="0" w:type="dxa"/>
        </w:trPr>
        <w:tc>
          <w:tcPr>
            <w:tcW w:w="5250" w:type="dxa"/>
            <w:textDirection w:val="lrTb"/>
            <w:noWrap w:val="false"/>
          </w:tcPr>
          <w:p>
            <w:pPr>
              <w:pStyle w:val="697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управляющий</w:t>
            </w:r>
            <w:r>
              <w:rPr>
                <w:b/>
                <w:bCs/>
                <w:sz w:val="20"/>
                <w:szCs w:val="20"/>
                <w:lang w:val="en-US"/>
              </w:rPr>
              <w:br/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Михайлова Александра Николаевича</w:t>
            </w:r>
            <w:r>
              <w:rPr>
                <w:b/>
                <w:bCs/>
                <w:sz w:val="20"/>
                <w:szCs w:val="20"/>
                <w:lang w:val="en-US"/>
              </w:rPr>
            </w:r>
          </w:p>
        </w:tc>
        <w:tc>
          <w:tcPr>
            <w:tcW w:w="3300" w:type="dxa"/>
            <w:vAlign w:val="center"/>
            <w:textDirection w:val="lrTb"/>
            <w:noWrap w:val="false"/>
          </w:tcPr>
          <w:p>
            <w:pPr>
              <w:pStyle w:val="697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br/>
            </w:r>
            <w:r/>
            <w:r>
              <w:rPr>
                <w:sz w:val="20"/>
                <w:szCs w:val="20"/>
                <w:lang w:val="en-US"/>
              </w:rPr>
            </w:r>
          </w:p>
        </w:tc>
        <w:tc>
          <w:tcPr>
            <w:tcW w:w="3000" w:type="dxa"/>
            <w:textDirection w:val="lrTb"/>
            <w:noWrap w:val="false"/>
          </w:tcPr>
          <w:p>
            <w:pPr>
              <w:ind w:left="212"/>
              <w:jc w:val="right"/>
              <w:tabs>
                <w:tab w:val="left" w:pos="453" w:leader="none"/>
              </w:tabs>
              <w:rPr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 xml:space="preserve">М.В. Косточкина</w:t>
            </w:r>
            <w:r>
              <w:rPr>
                <w:lang w:val="en-US"/>
              </w:rPr>
            </w:r>
          </w:p>
          <w:p>
            <w:pPr>
              <w:pStyle w:val="69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Style w:val="709"/>
        <w:tblW w:w="10490" w:type="dxa"/>
        <w:tblLook w:val="04A0" w:firstRow="1" w:lastRow="0" w:firstColumn="1" w:lastColumn="0" w:noHBand="0" w:noVBand="1"/>
      </w:tblPr>
      <w:tblGrid>
        <w:gridCol w:w="10262"/>
        <w:gridCol w:w="228"/>
      </w:tblGrid>
      <w:tr>
        <w:tblPrEx/>
        <w:trPr>
          <w:trHeight w:val="513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00" w:type="dxa"/>
            <w:textDirection w:val="lrTb"/>
            <w:noWrap w:val="false"/>
          </w:tcPr>
          <w:tbl>
            <w:tblPr>
              <w:tblStyle w:val="709"/>
              <w:tblW w:w="1004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ook w:val="04A0" w:firstRow="1" w:lastRow="0" w:firstColumn="1" w:lastColumn="0" w:noHBand="0" w:noVBand="1"/>
            </w:tblPr>
            <w:tblGrid>
              <w:gridCol w:w="10046"/>
            </w:tblGrid>
            <w:tr>
              <w:tblPrEx/>
              <w:trPr>
                <w:trHeight w:val="3545"/>
              </w:trPr>
              <w:tc>
                <w:tcPr>
                  <w:tcW w:w="10046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Приложение №1. к решению об оценке имущества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</w:p>
                <w:p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Михайлова А. Н.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в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деле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о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банкротстве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№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№ А29-54/2026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ind w:left="211"/>
                    <w:tabs>
                      <w:tab w:val="left" w:pos="453" w:leader="none"/>
                    </w:tabs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1. </w:t>
                  </w:r>
                  <w:r>
                    <w:t xml:space="preserve">Объект</w:t>
                  </w:r>
                  <w:r>
                    <w:rPr>
                      <w:spacing w:val="-9"/>
                      <w:lang w:val="en-US"/>
                    </w:rPr>
                    <w:t xml:space="preserve"> </w:t>
                  </w:r>
                  <w:r>
                    <w:t xml:space="preserve">оценки</w:t>
                  </w:r>
                  <w:r>
                    <w:rPr>
                      <w:lang w:val="en-US"/>
                    </w:rPr>
                    <w:t xml:space="preserve">:</w:t>
                  </w:r>
                  <w:r>
                    <w:rPr>
                      <w:spacing w:val="-8"/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</w:r>
                  <w:r>
                    <w:rPr>
                      <w:lang w:val="en-US"/>
                    </w:rPr>
                  </w:r>
                </w:p>
                <w:p>
                  <w:pPr>
                    <w:ind w:left="211"/>
                    <w:tabs>
                      <w:tab w:val="left" w:pos="453" w:leader="none"/>
                    </w:tabs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2. </w:t>
                  </w:r>
                  <w:r>
                    <w:t xml:space="preserve">Назначение</w:t>
                  </w:r>
                  <w:r>
                    <w:rPr>
                      <w:lang w:val="en-US"/>
                    </w:rPr>
                    <w:t xml:space="preserve">:</w:t>
                  </w:r>
                  <w:r>
                    <w:rPr>
                      <w:spacing w:val="-6"/>
                      <w:lang w:val="en-US"/>
                    </w:rPr>
                    <w:t xml:space="preserve"> </w:t>
                  </w:r>
                  <w:r>
                    <w:rPr>
                      <w:lang w:val="en-US"/>
                    </w:rPr>
                  </w:r>
                  <w:r>
                    <w:rPr>
                      <w:lang w:val="en-US"/>
                    </w:rPr>
                  </w:r>
                </w:p>
                <w:p>
                  <w:pPr>
                    <w:ind w:left="212"/>
                    <w:tabs>
                      <w:tab w:val="left" w:pos="453" w:leader="none"/>
                    </w:tabs>
                  </w:pPr>
                  <w:r>
                    <w:t xml:space="preserve">3. Кадастровый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 xml:space="preserve">(условный)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 xml:space="preserve">номер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 xml:space="preserve">объекта:</w:t>
                  </w:r>
                  <w:r>
                    <w:rPr>
                      <w:spacing w:val="-4"/>
                    </w:rPr>
                    <w:t xml:space="preserve"> </w:t>
                  </w:r>
                  <w:r/>
                </w:p>
                <w:p>
                  <w:pPr>
                    <w:ind w:left="211"/>
                    <w:tabs>
                      <w:tab w:val="left" w:pos="453" w:leader="none"/>
                    </w:tabs>
                  </w:pPr>
                  <w:r>
                    <w:t xml:space="preserve">4. Вид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права,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доля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праве: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,</w:t>
                  </w:r>
                  <w:r/>
                </w:p>
                <w:p>
                  <w:pPr>
                    <w:ind w:left="211"/>
                    <w:tabs>
                      <w:tab w:val="left" w:pos="453" w:leader="none"/>
                    </w:tabs>
                  </w:pPr>
                  <w:r>
                    <w:t xml:space="preserve">5. Площадь: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кв.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м.</w:t>
                  </w:r>
                  <w:r/>
                </w:p>
                <w:p>
                  <w:pPr>
                    <w:ind w:left="212"/>
                    <w:tabs>
                      <w:tab w:val="left" w:pos="453" w:leader="none"/>
                    </w:tabs>
                  </w:pPr>
                  <w:r>
                    <w:t xml:space="preserve">6. Адрес</w:t>
                  </w:r>
                  <w:r>
                    <w:rPr>
                      <w:spacing w:val="-7"/>
                    </w:rPr>
                    <w:t xml:space="preserve"> </w:t>
                  </w:r>
                  <w:r>
                    <w:t xml:space="preserve">(местонахождение)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 xml:space="preserve">объекта:</w:t>
                  </w:r>
                  <w:r>
                    <w:rPr>
                      <w:spacing w:val="-7"/>
                    </w:rPr>
                    <w:t xml:space="preserve"> </w:t>
                  </w:r>
                  <w:r/>
                </w:p>
                <w:p>
                  <w:pPr>
                    <w:ind w:left="212"/>
                    <w:tabs>
                      <w:tab w:val="left" w:pos="453" w:leader="none"/>
                    </w:tabs>
                  </w:pPr>
                  <w:r>
                    <w:t xml:space="preserve">7. Дата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 xml:space="preserve">государственной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 xml:space="preserve">регистрации:</w:t>
                  </w:r>
                  <w:r>
                    <w:rPr>
                      <w:spacing w:val="-5"/>
                    </w:rPr>
                    <w:t xml:space="preserve"> </w:t>
                  </w:r>
                  <w:r/>
                </w:p>
                <w:p>
                  <w:pPr>
                    <w:ind w:left="212"/>
                    <w:tabs>
                      <w:tab w:val="left" w:pos="453" w:leader="none"/>
                    </w:tabs>
                  </w:pPr>
                  <w:r>
                    <w:t xml:space="preserve">8. Номер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 xml:space="preserve">государственной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 xml:space="preserve">регистрации:</w:t>
                  </w:r>
                  <w:r>
                    <w:rPr>
                      <w:spacing w:val="-11"/>
                    </w:rPr>
                    <w:t xml:space="preserve"> </w:t>
                  </w:r>
                  <w:r/>
                </w:p>
                <w:p>
                  <w:pPr>
                    <w:ind w:left="212"/>
                    <w:tabs>
                      <w:tab w:val="left" w:pos="453" w:leader="none"/>
                    </w:tabs>
                  </w:pPr>
                  <w:r>
                    <w:t xml:space="preserve">9. Основание государственной регистрации:</w:t>
                  </w:r>
                  <w:r/>
                </w:p>
                <w:p>
                  <w:pPr>
                    <w:ind w:left="212"/>
                    <w:tabs>
                      <w:tab w:val="left" w:pos="453" w:leader="none"/>
                    </w:tabs>
                  </w:pPr>
                  <w:r/>
                  <w:r/>
                </w:p>
                <w:p>
                  <w:pPr>
                    <w:ind w:left="212"/>
                    <w:tabs>
                      <w:tab w:val="left" w:pos="453" w:leader="none"/>
                    </w:tabs>
                  </w:pPr>
                  <w:r/>
                  <w:r/>
                </w:p>
                <w:p>
                  <w:pPr>
                    <w:ind w:left="212"/>
                    <w:tabs>
                      <w:tab w:val="left" w:pos="453" w:leader="none"/>
                    </w:tabs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Финансовый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управляющий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br/>
                    <w:t xml:space="preserve">Михайлова Александра Николаевича</w:t>
                  </w:r>
                  <w:r>
                    <w:rPr>
                      <w:b/>
                      <w:bCs/>
                      <w:sz w:val="20"/>
                      <w:szCs w:val="20"/>
                    </w:rPr>
                  </w:r>
                </w:p>
                <w:p>
                  <w:pPr>
                    <w:ind w:left="212"/>
                    <w:jc w:val="right"/>
                    <w:tabs>
                      <w:tab w:val="left" w:pos="453" w:leader="none"/>
                    </w:tabs>
                    <w:rPr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М.В. Косточкина</w:t>
                  </w:r>
                  <w:r>
                    <w:rPr>
                      <w:lang w:val="en-US"/>
                    </w:rPr>
                  </w:r>
                </w:p>
                <w:p>
                  <w:pPr>
                    <w:ind w:left="212"/>
                    <w:tabs>
                      <w:tab w:val="left" w:pos="453" w:leader="none"/>
                    </w:tabs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r>
                </w:p>
              </w:tc>
            </w:tr>
          </w:tbl>
          <w:p>
            <w:pPr>
              <w:pStyle w:val="704"/>
              <w:spacing w:before="1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90" w:type="dxa"/>
            <w:textDirection w:val="lrTb"/>
            <w:noWrap w:val="false"/>
          </w:tcPr>
          <w:p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</w:r>
            <w:r>
              <w:rPr>
                <w:b/>
                <w:bCs/>
                <w:i/>
                <w:iCs/>
                <w:sz w:val="20"/>
                <w:szCs w:val="20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Style w:val="709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12"/>
      </w:tblGrid>
      <w:tr>
        <w:tblPrEx/>
        <w:trPr>
          <w:trHeight w:val="10548"/>
        </w:trPr>
        <w:tc>
          <w:tcPr>
            <w:tcW w:w="9912" w:type="dxa"/>
            <w:textDirection w:val="lrTb"/>
            <w:noWrap w:val="false"/>
          </w:tcPr>
          <w:tbl>
            <w:tblPr>
              <w:tblStyle w:val="709"/>
              <w:tblW w:w="0" w:type="auto"/>
              <w:tblLook w:val="04A0" w:firstRow="1" w:lastRow="0" w:firstColumn="1" w:lastColumn="0" w:noHBand="0" w:noVBand="1"/>
            </w:tblPr>
            <w:tblGrid>
              <w:gridCol w:w="9696"/>
            </w:tblGrid>
            <w:tr>
              <w:tblPrEx/>
              <w:trPr>
                <w:trHeight w:val="7616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9912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Приложение №2. к решению об оценке имущества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</w:p>
                <w:p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Михайлова А. Н.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в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деле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о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банкротстве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№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№ А29-54/2026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spacing w:before="91"/>
                    <w:rPr>
                      <w:b/>
                      <w:i/>
                      <w:sz w:val="23"/>
                    </w:rPr>
                  </w:pPr>
                  <w:r>
                    <w:rPr>
                      <w:b/>
                      <w:i/>
                      <w:spacing w:val="-1"/>
                      <w:sz w:val="23"/>
                    </w:rPr>
                    <w:t xml:space="preserve">РАСЧЕТ</w:t>
                  </w:r>
                  <w:r>
                    <w:rPr>
                      <w:b/>
                      <w:i/>
                      <w:spacing w:val="-12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СТОИМОСТИ</w:t>
                  </w:r>
                  <w:r>
                    <w:rPr>
                      <w:b/>
                      <w:i/>
                      <w:spacing w:val="-13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ИМУЩЕСТВА</w:t>
                  </w:r>
                  <w:r>
                    <w:rPr>
                      <w:b/>
                      <w:i/>
                      <w:spacing w:val="-14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ДОЛЖНИКА</w:t>
                  </w:r>
                  <w:r>
                    <w:rPr>
                      <w:b/>
                      <w:i/>
                      <w:spacing w:val="-11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методом</w:t>
                  </w:r>
                  <w:r>
                    <w:rPr>
                      <w:b/>
                      <w:i/>
                      <w:spacing w:val="-12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сравнительного</w:t>
                  </w:r>
                  <w:r>
                    <w:rPr>
                      <w:b/>
                      <w:i/>
                      <w:spacing w:val="-11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анализа</w:t>
                  </w:r>
                  <w:r>
                    <w:rPr>
                      <w:b/>
                      <w:i/>
                      <w:spacing w:val="-11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с</w:t>
                  </w:r>
                  <w:r>
                    <w:rPr>
                      <w:b/>
                      <w:i/>
                      <w:spacing w:val="-55"/>
                      <w:sz w:val="23"/>
                    </w:rPr>
                    <w:t xml:space="preserve"> </w:t>
                  </w:r>
                  <w:r>
                    <w:rPr>
                      <w:b/>
                      <w:i/>
                      <w:sz w:val="23"/>
                    </w:rPr>
                    <w:t xml:space="preserve">объектами-аналогами</w:t>
                  </w:r>
                  <w:r>
                    <w:rPr>
                      <w:b/>
                      <w:i/>
                      <w:sz w:val="23"/>
                    </w:rPr>
                  </w:r>
                </w:p>
                <w:p>
                  <w:pPr>
                    <w:spacing w:line="274" w:lineRule="exact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 xml:space="preserve">РАСЧЕТ:</w:t>
                  </w:r>
                  <w:r>
                    <w:rPr>
                      <w:b/>
                      <w:i/>
                    </w:rPr>
                  </w:r>
                </w:p>
                <w:p>
                  <w:pPr>
                    <w:pStyle w:val="704"/>
                    <w:jc w:val="both"/>
                    <w:spacing w:line="274" w:lineRule="exact"/>
                  </w:pPr>
                  <w:r>
                    <w:t xml:space="preserve">Подобрано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аналогов: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3.</w:t>
                  </w:r>
                  <w:r/>
                </w:p>
                <w:p>
                  <w:pPr>
                    <w:pStyle w:val="704"/>
                    <w:jc w:val="both"/>
                  </w:pPr>
                  <w:r>
                    <w:t xml:space="preserve">Ценовой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 xml:space="preserve">диапазон: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 xml:space="preserve">от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 xml:space="preserve">4 550 000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 xml:space="preserve">рублей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 xml:space="preserve">до 5 9</w:t>
                  </w:r>
                  <w:r>
                    <w:rPr>
                      <w:spacing w:val="-4"/>
                    </w:rPr>
                    <w:t xml:space="preserve">00 000 </w:t>
                  </w:r>
                  <w:r>
                    <w:t xml:space="preserve">рублей.</w:t>
                  </w:r>
                  <w:r/>
                </w:p>
                <w:p>
                  <w:pPr>
                    <w:pStyle w:val="704"/>
                    <w:jc w:val="both"/>
                  </w:pPr>
                  <w:r>
                    <w:t xml:space="preserve">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соответствии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состоянием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инфраструктурой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квартиры,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также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местонахождением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объекта оценки,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которых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аналог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такого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рода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объекта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обычно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используется (местонахождение Белгородская обл.), оценка стоимости может производиться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 xml:space="preserve">путем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сравнительного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подхода,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который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служит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для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оценки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рыночной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стоимости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объекта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исходя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из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методов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оценки,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основанных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получении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стоимости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объекта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оценки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путем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сравнения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оцениваемых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объектов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объектами-аналогами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которые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были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проданы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или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предложены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в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продажу.</w:t>
                  </w:r>
                  <w:r/>
                </w:p>
                <w:p>
                  <w:pPr>
                    <w:pStyle w:val="704"/>
                    <w:jc w:val="both"/>
                  </w:pPr>
                  <w:r>
                    <w:t xml:space="preserve">Согласно перечисленным характеристикам, расчет стоимости квартиры будет 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 xml:space="preserve">проводиться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сравнительным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 xml:space="preserve">подходом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к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оценке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недвижимости:</w:t>
                  </w:r>
                  <w:r/>
                </w:p>
                <w:p>
                  <w:pPr>
                    <w:pStyle w:val="704"/>
                    <w:jc w:val="both"/>
                    <w:rPr>
                      <w:spacing w:val="15"/>
                    </w:rPr>
                  </w:pPr>
                  <w:r>
                    <w:t xml:space="preserve">Среднее</w:t>
                  </w:r>
                  <w:r>
                    <w:rPr>
                      <w:spacing w:val="14"/>
                    </w:rPr>
                    <w:t xml:space="preserve"> </w:t>
                  </w:r>
                  <w:r>
                    <w:t xml:space="preserve">арифметическое: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t xml:space="preserve">(4550000+5000000+5900000)/3</w:t>
                  </w:r>
                  <w:r>
                    <w:rPr>
                      <w:spacing w:val="15"/>
                    </w:rPr>
                    <w:t xml:space="preserve"> </w:t>
                  </w:r>
                  <w:r>
                    <w:t xml:space="preserve">=</w:t>
                  </w:r>
                  <w:r>
                    <w:t xml:space="preserve">150000</w:t>
                  </w:r>
                  <w:r>
                    <w:rPr>
                      <w:spacing w:val="15"/>
                    </w:rPr>
                    <w:t xml:space="preserve">/2= 2 575 000</w:t>
                  </w:r>
                  <w:r>
                    <w:rPr>
                      <w:spacing w:val="15"/>
                    </w:rPr>
                  </w:r>
                </w:p>
                <w:p>
                  <w:pPr>
                    <w:pStyle w:val="704"/>
                    <w:jc w:val="both"/>
                  </w:pPr>
                  <w:r/>
                  <w:r/>
                </w:p>
                <w:p>
                  <w:pPr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z w:val="20"/>
                    </w:rPr>
                    <w:t xml:space="preserve">ЗАКЛЮЧЕНИЕ:</w:t>
                  </w:r>
                  <w:r>
                    <w:rPr>
                      <w:b/>
                      <w:i/>
                      <w:sz w:val="20"/>
                    </w:rPr>
                  </w:r>
                </w:p>
                <w:p>
                  <w:pPr>
                    <w:rPr>
                      <w:b/>
                      <w:i/>
                      <w:sz w:val="20"/>
                    </w:rPr>
                  </w:pPr>
                  <w:r>
                    <w:rPr>
                      <w:b/>
                      <w:i/>
                      <w:sz w:val="20"/>
                    </w:rPr>
                  </w:r>
                  <w:r>
                    <w:rPr>
                      <w:b/>
                      <w:i/>
                      <w:sz w:val="20"/>
                    </w:rPr>
                  </w:r>
                </w:p>
                <w:p>
                  <w:pPr>
                    <w:pStyle w:val="704"/>
                    <w:jc w:val="both"/>
                    <w:spacing w:before="1"/>
                  </w:pPr>
                  <w:r>
                    <w:t xml:space="preserve">Путём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сравнительного подхода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оценке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квартиры,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согласно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которому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наибольшая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стоимость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объекта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определяется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наименьшей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ценой,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которой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может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быть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приобретен другой объект с аналогичной полезностью, а также в соответствии с состоянием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местонахождением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 xml:space="preserve">оцениваемой доли в квартире</w:t>
                  </w:r>
                  <w:r/>
                </w:p>
                <w:p>
                  <w:pPr>
                    <w:pStyle w:val="704"/>
                    <w:jc w:val="both"/>
                    <w:spacing w:before="1"/>
                  </w:pPr>
                  <w:r/>
                  <w:r/>
                </w:p>
                <w:p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УСТАНОВИТЬ:</w:t>
                  </w:r>
                  <w:r>
                    <w:rPr>
                      <w:sz w:val="20"/>
                    </w:rPr>
                  </w:r>
                </w:p>
                <w:p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</w:r>
                  <w:r>
                    <w:rPr>
                      <w:sz w:val="20"/>
                    </w:rPr>
                  </w:r>
                </w:p>
                <w:p>
                  <w:pPr>
                    <w:jc w:val="center"/>
                    <w:spacing w:before="1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 xml:space="preserve">Начальную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продажную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стоимость</w:t>
                  </w:r>
                  <w:r>
                    <w:rPr>
                      <w:spacing w:val="-5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имущества</w:t>
                  </w:r>
                  <w:r>
                    <w:rPr>
                      <w:spacing w:val="-4"/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 xml:space="preserve">должника</w:t>
                  </w:r>
                  <w:r>
                    <w:rPr>
                      <w:spacing w:val="-1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 xml:space="preserve">2 575 000</w:t>
                  </w:r>
                  <w:r>
                    <w:rPr>
                      <w:b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 xml:space="preserve">(два миллиона пятьсот семьдесят пять тысяч)</w:t>
                  </w:r>
                  <w:r>
                    <w:rPr>
                      <w:b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sz w:val="20"/>
                    </w:rPr>
                    <w:t xml:space="preserve">рублей</w:t>
                  </w:r>
                  <w:r>
                    <w:rPr>
                      <w:b/>
                      <w:sz w:val="20"/>
                    </w:rPr>
                  </w:r>
                </w:p>
                <w:p>
                  <w:pPr>
                    <w:jc w:val="center"/>
                    <w:spacing w:before="1"/>
                    <w:rPr>
                      <w:b/>
                      <w:bCs/>
                      <w:i/>
                      <w:iCs/>
                      <w:sz w:val="20"/>
                    </w:rPr>
                  </w:pPr>
                  <w:r/>
                  <w:r>
                    <w:rPr>
                      <w:b/>
                      <w:bCs/>
                      <w:i/>
                      <w:iCs/>
                      <w:sz w:val="20"/>
                    </w:rPr>
                  </w:r>
                </w:p>
                <w:p>
                  <w:pPr>
                    <w:spacing w:before="1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Финансовый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управляющий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br/>
                    <w:t xml:space="preserve">Михайлова Александра Николаевича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ind w:left="212"/>
                    <w:jc w:val="right"/>
                    <w:tabs>
                      <w:tab w:val="left" w:pos="453" w:leader="none"/>
                    </w:tabs>
                    <w:rPr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М.В. Косточкина</w:t>
                  </w:r>
                  <w:r>
                    <w:rPr>
                      <w:lang w:val="en-US"/>
                    </w:rPr>
                  </w:r>
                </w:p>
                <w:p>
                  <w:pPr>
                    <w:spacing w:before="1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</w:p>
                <w:p>
                  <w:pPr>
                    <w:spacing w:before="1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</w:p>
                <w:p>
                  <w:pPr>
                    <w:spacing w:before="1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</w:p>
              </w:tc>
            </w:tr>
          </w:tbl>
          <w:p>
            <w:pPr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r/>
            <w:r/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tbl>
      <w:tblPr>
        <w:tblStyle w:val="709"/>
        <w:tblW w:w="10744" w:type="dxa"/>
        <w:tblInd w:w="24" w:type="dxa"/>
        <w:tblLook w:val="04A0" w:firstRow="1" w:lastRow="0" w:firstColumn="1" w:lastColumn="0" w:noHBand="0" w:noVBand="1"/>
      </w:tblPr>
      <w:tblGrid>
        <w:gridCol w:w="10744"/>
      </w:tblGrid>
      <w:tr>
        <w:tblPrEx/>
        <w:trPr>
          <w:trHeight w:val="70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744" w:type="dxa"/>
            <w:textDirection w:val="lrTb"/>
            <w:noWrap w:val="false"/>
          </w:tcPr>
          <w:tbl>
            <w:tblPr>
              <w:tblW w:w="1023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000" w:firstRow="0" w:lastRow="0" w:firstColumn="0" w:lastColumn="0" w:noHBand="0" w:noVBand="0"/>
            </w:tblPr>
            <w:tblGrid>
              <w:gridCol w:w="10230"/>
            </w:tblGrid>
            <w:tr>
              <w:tblPrEx/>
              <w:trPr>
                <w:trHeight w:val="6000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0230" w:type="dxa"/>
                  <w:textDirection w:val="lrTb"/>
                  <w:noWrap w:val="false"/>
                </w:tcPr>
                <w:p>
                  <w:pPr>
                    <w:ind w:left="24"/>
                  </w:pPr>
                  <w:r/>
                  <w:r/>
                </w:p>
                <w:p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Приложение №3. к решению об оценке имущества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r>
                </w:p>
                <w:p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Михайлова А. Н.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в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деле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о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банкротстве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 №</w:t>
                  </w:r>
                  <w:r>
                    <w:rPr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  <w:t xml:space="preserve">№ А29-54/2026</w:t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jc w:val="right"/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r>
                  <w:r>
                    <w:rPr>
                      <w:b/>
                      <w:bCs/>
                      <w:i/>
                      <w:iCs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numPr>
                      <w:ilvl w:val="0"/>
                      <w:numId w:val="3"/>
                    </w:numPr>
                    <w:ind w:left="744"/>
                  </w:pPr>
                  <w:r>
                    <w:t xml:space="preserve">2-к. квартира, 52 м ². Цена 4 550 000. Источник </w:t>
                  </w:r>
                  <w:r>
                    <w:rPr>
                      <w:lang w:val="en-US"/>
                    </w:rPr>
                    <w:t xml:space="preserve">avito</w:t>
                  </w:r>
                  <w:r>
                    <w:t xml:space="preserve">.ru.</w:t>
                  </w:r>
                  <w:r/>
                </w:p>
                <w:p>
                  <w:pPr>
                    <w:ind w:left="744"/>
                  </w:pPr>
                  <w:r/>
                  <w:hyperlink r:id="rId28" w:tooltip="https://www.avito.ru/staryy_oskol/kvartiry/2-k._kvartira_52_m_79_et._3732679690" w:history="1">
                    <w:r>
                      <w:rPr>
                        <w:rStyle w:val="707"/>
                      </w:rPr>
                      <w:t xml:space="preserve">https://www.avito.ru/staryy_oskol/kvartiry/2-k._kvartira_52_m_79_et._3732679690</w:t>
                    </w:r>
                  </w:hyperlink>
                  <w:r/>
                  <w:r/>
                </w:p>
                <w:p>
                  <w:pPr>
                    <w:ind w:left="24"/>
                    <w:spacing w:before="100" w:beforeAutospacing="1" w:after="100" w:afterAutospacing="1"/>
                  </w:pPr>
                  <w:r/>
                  <w:r/>
                </w:p>
                <w:p>
                  <w:pPr>
                    <w:ind w:left="74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numPr>
                      <w:ilvl w:val="0"/>
                      <w:numId w:val="3"/>
                    </w:numPr>
                    <w:ind w:left="744"/>
                  </w:pPr>
                  <w:r>
                    <w:t xml:space="preserve">2-к. квартира, 52,6 м ². Цена 5 900 000. Источник </w:t>
                  </w:r>
                  <w:r>
                    <w:rPr>
                      <w:lang w:val="en-US"/>
                    </w:rPr>
                    <w:t xml:space="preserve">avito</w:t>
                  </w:r>
                  <w:r>
                    <w:t xml:space="preserve">.ru.</w:t>
                  </w:r>
                  <w:r/>
                </w:p>
                <w:p>
                  <w:pPr>
                    <w:ind w:left="24"/>
                  </w:pPr>
                  <w:r/>
                  <w:hyperlink r:id="rId29" w:tooltip="https://www.avito.ru/staryy_oskol/kvartiry/2-k._kvartira_526_m_99_et._3950973298" w:history="1">
                    <w:r>
                      <w:rPr>
                        <w:rStyle w:val="707"/>
                      </w:rPr>
                      <w:t xml:space="preserve">https://www.avito.ru/staryy_oskol/kvartiry/2-k._kvartira_526_m_99_et._3950973298</w:t>
                    </w:r>
                  </w:hyperlink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  <w:rPr>
                      <w:b/>
                      <w:bCs/>
                      <w:sz w:val="20"/>
                      <w:szCs w:val="20"/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Финансовый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управляющий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  <w:br/>
                    <w:t xml:space="preserve">Михайлова Александра Николаевича</w:t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</w:r>
                  <w:r>
                    <w:rPr>
                      <w:b/>
                      <w:bCs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ind w:left="212"/>
                    <w:jc w:val="right"/>
                    <w:tabs>
                      <w:tab w:val="left" w:pos="453" w:leader="none"/>
                    </w:tabs>
                    <w:rPr>
                      <w:lang w:val="en-US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М.В. Косточкина</w:t>
                  </w:r>
                  <w:r>
                    <w:rPr>
                      <w:lang w:val="en-US"/>
                    </w:rPr>
                  </w:r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  <w:p>
                  <w:pPr>
                    <w:ind w:left="24"/>
                  </w:pPr>
                  <w:r/>
                  <w:r/>
                </w:p>
              </w:tc>
            </w:tr>
          </w:tbl>
          <w:p>
            <w:pPr>
              <w:spacing w:before="100" w:beforeAutospacing="1" w:after="100" w:afterAutospacing="1"/>
              <w:rPr>
                <w:lang w:val="en-US"/>
              </w:rPr>
            </w:pP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r/>
            <w:r/>
          </w:p>
        </w:tc>
      </w:tr>
    </w:tbl>
    <w:p>
      <w:r/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Times New Roman">
    <w:panose1 w:val="02020603050405020304"/>
  </w:font>
  <w:font w:name="Calibri Light">
    <w:panose1 w:val="020F0302020204030204"/>
  </w:font>
  <w:font w:name="Wingdings">
    <w:panose1 w:val="0500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7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</w:p>
  <w:p>
    <w:pPr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9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1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3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5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7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9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1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3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5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2" w:hanging="240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438" w:hanging="240"/>
      </w:pPr>
      <w:rPr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417" w:hanging="240"/>
      </w:pPr>
      <w:rPr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395" w:hanging="240"/>
      </w:pPr>
      <w:rPr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74" w:hanging="240"/>
      </w:pPr>
      <w:rPr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53" w:hanging="240"/>
      </w:pPr>
      <w:rPr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331" w:hanging="240"/>
      </w:pPr>
      <w:rPr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310" w:hanging="240"/>
      </w:pPr>
      <w:rPr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89" w:hanging="240"/>
      </w:pPr>
      <w:rPr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2"/>
  </w:num>
  <w:num w:numId="2">
    <w:abstractNumId w:val="4"/>
    <w:lvlOverride w:ilvl="0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89"/>
    <w:link w:val="68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89"/>
    <w:link w:val="68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89"/>
    <w:link w:val="68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89"/>
    <w:link w:val="68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84"/>
    <w:next w:val="68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8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84"/>
    <w:next w:val="68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8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4"/>
    <w:next w:val="68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8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4"/>
    <w:next w:val="68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8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4"/>
    <w:next w:val="68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8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4"/>
    <w:next w:val="68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89"/>
    <w:link w:val="35"/>
    <w:uiPriority w:val="10"/>
    <w:rPr>
      <w:sz w:val="48"/>
      <w:szCs w:val="48"/>
    </w:rPr>
  </w:style>
  <w:style w:type="paragraph" w:styleId="37">
    <w:name w:val="Subtitle"/>
    <w:basedOn w:val="684"/>
    <w:next w:val="68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89"/>
    <w:link w:val="37"/>
    <w:uiPriority w:val="11"/>
    <w:rPr>
      <w:sz w:val="24"/>
      <w:szCs w:val="24"/>
    </w:rPr>
  </w:style>
  <w:style w:type="paragraph" w:styleId="39">
    <w:name w:val="Quote"/>
    <w:basedOn w:val="684"/>
    <w:next w:val="68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4"/>
    <w:next w:val="68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84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89"/>
    <w:link w:val="43"/>
    <w:uiPriority w:val="99"/>
  </w:style>
  <w:style w:type="character" w:styleId="46">
    <w:name w:val="Footer Char"/>
    <w:basedOn w:val="689"/>
    <w:link w:val="702"/>
    <w:uiPriority w:val="99"/>
  </w:style>
  <w:style w:type="paragraph" w:styleId="47">
    <w:name w:val="Caption"/>
    <w:basedOn w:val="684"/>
    <w:next w:val="68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89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89"/>
    <w:uiPriority w:val="99"/>
    <w:unhideWhenUsed/>
    <w:rPr>
      <w:vertAlign w:val="superscript"/>
    </w:rPr>
  </w:style>
  <w:style w:type="paragraph" w:styleId="179">
    <w:name w:val="endnote text"/>
    <w:basedOn w:val="68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89"/>
    <w:uiPriority w:val="99"/>
    <w:semiHidden/>
    <w:unhideWhenUsed/>
    <w:rPr>
      <w:vertAlign w:val="superscript"/>
    </w:rPr>
  </w:style>
  <w:style w:type="paragraph" w:styleId="182">
    <w:name w:val="toc 1"/>
    <w:basedOn w:val="684"/>
    <w:next w:val="68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4"/>
    <w:next w:val="68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4"/>
    <w:next w:val="68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4"/>
    <w:next w:val="68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4"/>
    <w:next w:val="68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4"/>
    <w:next w:val="68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4"/>
    <w:next w:val="68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4"/>
    <w:next w:val="68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4"/>
    <w:next w:val="68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4"/>
    <w:next w:val="684"/>
    <w:uiPriority w:val="99"/>
    <w:unhideWhenUsed/>
    <w:pPr>
      <w:spacing w:after="0" w:afterAutospacing="0"/>
    </w:pPr>
  </w:style>
  <w:style w:type="paragraph" w:styleId="684" w:default="1">
    <w:name w:val="Normal"/>
    <w:qFormat/>
    <w:rPr>
      <w:sz w:val="24"/>
      <w:szCs w:val="24"/>
    </w:rPr>
  </w:style>
  <w:style w:type="paragraph" w:styleId="685">
    <w:name w:val="Heading 1"/>
    <w:basedOn w:val="684"/>
    <w:link w:val="692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86">
    <w:name w:val="Heading 2"/>
    <w:basedOn w:val="684"/>
    <w:link w:val="693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87">
    <w:name w:val="Heading 3"/>
    <w:basedOn w:val="684"/>
    <w:link w:val="694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88">
    <w:name w:val="Heading 4"/>
    <w:basedOn w:val="684"/>
    <w:link w:val="695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89" w:default="1">
    <w:name w:val="Default Paragraph Font"/>
    <w:uiPriority w:val="1"/>
    <w:semiHidden/>
    <w:unhideWhenUsed/>
  </w:style>
  <w:style w:type="table" w:styleId="6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1" w:default="1">
    <w:name w:val="No List"/>
    <w:uiPriority w:val="99"/>
    <w:semiHidden/>
    <w:unhideWhenUsed/>
  </w:style>
  <w:style w:type="character" w:styleId="692" w:customStyle="1">
    <w:name w:val="Заголовок 1 Знак"/>
    <w:link w:val="685"/>
    <w:uiPriority w:val="9"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93" w:customStyle="1">
    <w:name w:val="Заголовок 2 Знак"/>
    <w:link w:val="686"/>
    <w:uiPriority w:val="9"/>
    <w:semiHidden/>
    <w:rPr>
      <w:rFonts w:ascii="Calibri Light" w:hAnsi="Calibri Light" w:eastAsia="Times New Roman" w:cs="Times New Roman"/>
      <w:color w:val="2f5496"/>
      <w:sz w:val="26"/>
      <w:szCs w:val="26"/>
    </w:rPr>
  </w:style>
  <w:style w:type="character" w:styleId="694" w:customStyle="1">
    <w:name w:val="Заголовок 3 Знак"/>
    <w:link w:val="687"/>
    <w:uiPriority w:val="9"/>
    <w:semiHidden/>
    <w:rPr>
      <w:rFonts w:ascii="Calibri Light" w:hAnsi="Calibri Light" w:eastAsia="Times New Roman" w:cs="Times New Roman"/>
      <w:color w:val="1f3763"/>
      <w:sz w:val="24"/>
      <w:szCs w:val="24"/>
    </w:rPr>
  </w:style>
  <w:style w:type="character" w:styleId="695" w:customStyle="1">
    <w:name w:val="Заголовок 4 Знак"/>
    <w:link w:val="688"/>
    <w:uiPriority w:val="9"/>
    <w:semiHidden/>
    <w:rPr>
      <w:rFonts w:ascii="Calibri Light" w:hAnsi="Calibri Light" w:eastAsia="Times New Roman" w:cs="Times New Roman"/>
      <w:i/>
      <w:iCs/>
      <w:color w:val="2f5496"/>
      <w:sz w:val="24"/>
      <w:szCs w:val="24"/>
    </w:rPr>
  </w:style>
  <w:style w:type="paragraph" w:styleId="696" w:customStyle="1">
    <w:name w:val="msonormal"/>
    <w:basedOn w:val="684"/>
    <w:pPr>
      <w:spacing w:before="120" w:after="120"/>
    </w:pPr>
  </w:style>
  <w:style w:type="paragraph" w:styleId="697">
    <w:name w:val="Normal (Web)"/>
    <w:basedOn w:val="684"/>
    <w:uiPriority w:val="99"/>
    <w:unhideWhenUsed/>
    <w:pPr>
      <w:spacing w:before="120" w:after="120"/>
    </w:pPr>
  </w:style>
  <w:style w:type="paragraph" w:styleId="698" w:customStyle="1">
    <w:name w:val="indent"/>
    <w:basedOn w:val="684"/>
    <w:pPr>
      <w:ind w:firstLine="708"/>
      <w:jc w:val="both"/>
      <w:spacing w:before="120" w:after="120"/>
    </w:pPr>
  </w:style>
  <w:style w:type="paragraph" w:styleId="699" w:customStyle="1">
    <w:name w:val="indnomrg"/>
    <w:basedOn w:val="684"/>
    <w:pPr>
      <w:ind w:firstLine="708"/>
      <w:jc w:val="both"/>
    </w:pPr>
  </w:style>
  <w:style w:type="paragraph" w:styleId="700" w:customStyle="1">
    <w:name w:val="nomrg"/>
    <w:basedOn w:val="684"/>
    <w:pPr>
      <w:jc w:val="both"/>
    </w:pPr>
  </w:style>
  <w:style w:type="paragraph" w:styleId="701" w:customStyle="1">
    <w:name w:val="zagolovok6"/>
    <w:qFormat/>
    <w:rPr>
      <w:sz w:val="24"/>
      <w:szCs w:val="24"/>
    </w:rPr>
  </w:style>
  <w:style w:type="paragraph" w:styleId="702">
    <w:name w:val="Footer"/>
    <w:basedOn w:val="684"/>
    <w:link w:val="70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03" w:customStyle="1">
    <w:name w:val="Нижний колонтитул Знак"/>
    <w:link w:val="702"/>
    <w:uiPriority w:val="99"/>
    <w:rPr>
      <w:rFonts w:eastAsia="Times New Roman"/>
      <w:sz w:val="24"/>
      <w:szCs w:val="24"/>
    </w:rPr>
  </w:style>
  <w:style w:type="paragraph" w:styleId="704">
    <w:name w:val="Body Text"/>
    <w:basedOn w:val="684"/>
    <w:link w:val="705"/>
    <w:uiPriority w:val="1"/>
    <w:semiHidden/>
    <w:unhideWhenUsed/>
    <w:qFormat/>
    <w:pPr>
      <w:widowControl w:val="off"/>
    </w:pPr>
    <w:rPr>
      <w:lang w:eastAsia="en-US"/>
    </w:rPr>
  </w:style>
  <w:style w:type="character" w:styleId="705" w:customStyle="1">
    <w:name w:val="Основной текст Знак"/>
    <w:link w:val="704"/>
    <w:uiPriority w:val="1"/>
    <w:semiHidden/>
    <w:rPr>
      <w:sz w:val="24"/>
      <w:szCs w:val="24"/>
      <w:lang w:eastAsia="en-US"/>
    </w:rPr>
  </w:style>
  <w:style w:type="paragraph" w:styleId="706">
    <w:name w:val="List Paragraph"/>
    <w:basedOn w:val="684"/>
    <w:uiPriority w:val="1"/>
    <w:qFormat/>
    <w:pPr>
      <w:ind w:left="452" w:hanging="242"/>
      <w:widowControl w:val="off"/>
    </w:pPr>
    <w:rPr>
      <w:sz w:val="22"/>
      <w:szCs w:val="22"/>
      <w:lang w:eastAsia="en-US"/>
    </w:rPr>
  </w:style>
  <w:style w:type="character" w:styleId="707">
    <w:name w:val="Hyperlink"/>
    <w:uiPriority w:val="99"/>
    <w:unhideWhenUsed/>
    <w:rPr>
      <w:color w:val="0563c1"/>
      <w:u w:val="single"/>
    </w:rPr>
  </w:style>
  <w:style w:type="character" w:styleId="708">
    <w:name w:val="Unresolved Mention"/>
    <w:uiPriority w:val="99"/>
    <w:semiHidden/>
    <w:unhideWhenUsed/>
    <w:rPr>
      <w:color w:val="605e5c"/>
      <w:shd w:val="clear" w:color="auto" w:fill="e1dfdd"/>
    </w:rPr>
  </w:style>
  <w:style w:type="table" w:styleId="709">
    <w:name w:val="Table Grid"/>
    <w:basedOn w:val="690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hyperlink" Target="https://www.avito.ru/kazan/avtomobili/vaz_lada_2104_1.6_mt_2008_bityy_89_760_km_8010627192?context=H4sIAAAAAAAA_wE_AMD_YToyOntzOjEzOiJsb2NhbFByaW9yaXR5IjtiOjA7czoxOiJ4IjtzOjE2OiI3c1FqTGRLNTFBTnNCR2VtIjt9R9VPMD8AAAA" TargetMode="External"/><Relationship Id="rId13" Type="http://schemas.openxmlformats.org/officeDocument/2006/relationships/image" Target="media/image2.png"/><Relationship Id="rId14" Type="http://schemas.openxmlformats.org/officeDocument/2006/relationships/hyperlink" Target="https://auto.ru/cars/used/sale/vaz/2104/1132188755-4ee6cbfa/" TargetMode="External"/><Relationship Id="rId15" Type="http://schemas.openxmlformats.org/officeDocument/2006/relationships/image" Target="media/image3.png"/><Relationship Id="rId16" Type="http://schemas.openxmlformats.org/officeDocument/2006/relationships/hyperlink" Target="https://www.avito.ru/tolyatti/avtomobili/vaz_lada_2104_1.6_mt_2008_20_000_km_8042151404?context=H4sIAAAAAAAA_wE_AMD_YToyOntzOjEzOiJsb2NhbFByaW9yaXR5IjtiOjA7czoxOiJ4IjtzOjE2OiI3c1FqTGRLNTFBTnNCR2VtIjt9R9VPMD8AAAA" TargetMode="External"/><Relationship Id="rId17" Type="http://schemas.openxmlformats.org/officeDocument/2006/relationships/image" Target="media/image4.png"/><Relationship Id="rId18" Type="http://schemas.openxmlformats.org/officeDocument/2006/relationships/hyperlink" Target="https://auto.ru/cars/used/sale/vaz/2104/1124549882-76e20daf/" TargetMode="External"/><Relationship Id="rId19" Type="http://schemas.openxmlformats.org/officeDocument/2006/relationships/image" Target="media/image5.png"/><Relationship Id="rId20" Type="http://schemas.openxmlformats.org/officeDocument/2006/relationships/hyperlink" Target="https://www.avito.ru/dmitrov/avtomobili/vaz_lada_2104_1.6_mt_2008_bityy_128_000_km_7878584178?context=H4sIAAAAAAAA_wE_AMD_YToyOntzOjEzOiJsb2NhbFByaW9yaXR5IjtiOjA7czoxOiJ4IjtzOjE2OiI3c1FqTGRLNTFBTnNCR2VtIjt9R9VPMD8AAAA" TargetMode="External"/><Relationship Id="rId21" Type="http://schemas.openxmlformats.org/officeDocument/2006/relationships/image" Target="media/image6.png"/><Relationship Id="rId22" Type="http://schemas.openxmlformats.org/officeDocument/2006/relationships/image" Target="media/image7.jpeg"/><Relationship Id="rId23" Type="http://schemas.openxmlformats.org/officeDocument/2006/relationships/image" Target="media/image8.jpeg"/><Relationship Id="rId24" Type="http://schemas.openxmlformats.org/officeDocument/2006/relationships/image" Target="media/image9.jpeg"/><Relationship Id="rId25" Type="http://schemas.openxmlformats.org/officeDocument/2006/relationships/image" Target="media/image10.jpeg"/><Relationship Id="rId26" Type="http://schemas.openxmlformats.org/officeDocument/2006/relationships/image" Target="media/image11.jpeg"/><Relationship Id="rId27" Type="http://schemas.openxmlformats.org/officeDocument/2006/relationships/image" Target="media/image12.jpeg"/><Relationship Id="rId28" Type="http://schemas.openxmlformats.org/officeDocument/2006/relationships/hyperlink" Target="https://www.avito.ru/staryy_oskol/kvartiry/2-k._kvartira_52_m_79_et._3732679690" TargetMode="External"/><Relationship Id="rId29" Type="http://schemas.openxmlformats.org/officeDocument/2006/relationships/hyperlink" Target="https://www.avito.ru/staryy_oskol/kvartiry/2-k._kvartira_526_m_99_et._395097329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14432-0D68-495F-B8D5-49A503C2E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Пользователь</dc:creator>
  <cp:keywords/>
  <dc:description/>
  <cp:lastModifiedBy>alesh</cp:lastModifiedBy>
  <cp:revision>61</cp:revision>
  <dcterms:created xsi:type="dcterms:W3CDTF">2024-10-16T09:43:00Z</dcterms:created>
  <dcterms:modified xsi:type="dcterms:W3CDTF">2026-04-23T14:29:55Z</dcterms:modified>
</cp:coreProperties>
</file>