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>Королева Екатерина Александровна</w:t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09.09.2025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>№ А33-17298/2025</w:t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>Арбитражный суд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Королева Екатерина Александровна</w:t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245606712341</w:t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Королевой Екатерины Александровны</w:t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17 июня,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>Королева Екатерина Александровна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>Арбитражный суд Красноярского края</w:t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>№ А33-17298/2025</w:t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Королева Екатерина Александровна</w:t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245606712341</w:t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Королевой Екатерины Александровны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