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Ind w:w="0" w:type="dxa"/>
        <w:tblLayout w:type="autofit"/>
        <w:tblCellMar>
          <w:left w:w="75" w:type="dxa"/>
          <w:top w:w="75" w:type="dxa"/>
          <w:right w:w="75" w:type="dxa"/>
          <w:bottom w:w="75" w:type="dxa"/>
        </w:tblCellMar>
        <w:tblLook w:val="04A0" w:firstRow="1" w:lastRow="0" w:firstColumn="1" w:lastColumn="0" w:noHBand="0" w:noVBand="1"/>
      </w:tblPr>
      <w:tblGrid>
        <w:gridCol w:w="9922"/>
      </w:tblGrid>
      <w:tr>
        <w:trPr>
          <w:tblCellSpacing w:w="0" w:type="dxa"/>
        </w:trPr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Html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W w:w="495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Финансовый управляющи</w:t>
            </w:r>
            <w:r>
              <w:rPr>
                <w:sz w:val="16"/>
                <w:szCs w:val="16"/>
              </w:rPr>
              <w:t xml:space="preserve">й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Базаровой Туяны Сергеевн</w:t>
            </w:r>
            <w:r>
              <w:rPr>
                <w:sz w:val="16"/>
                <w:szCs w:val="16"/>
              </w:rPr>
              <w:t xml:space="preserve">ы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Газизова Наталья Андреевн</w:t>
            </w:r>
            <w:r>
              <w:rPr>
                <w:sz w:val="16"/>
                <w:szCs w:val="16"/>
              </w:rPr>
              <w:t xml:space="preserve">а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0" cy="9525"/>
                      <wp:effectExtent l="0" t="0" r="0" b="0"/>
                      <wp:docPr id="1" name="_x0000_s10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>
                              <a:xfrm>
                                <a:off x="0" y="0"/>
                                <a:ext cx="0" cy="95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A0A0A0"/>
                              </a:solidFill>
                              <a:ln>
                                <a:noFill/>
                              </a:ln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shape 0" o:spid="_x0000_s0" o:spt="1" type="#_x0000_t1" style="width:0.00pt;height:0.75pt;mso-wrap-distance-left:0.00pt;mso-wrap-distance-top:0.00pt;mso-wrap-distance-right:0.00pt;mso-wrap-distance-bottom:0.00pt;visibility:visible;" fillcolor="#A0A0A0" stroked="f"/>
                  </w:pict>
                </mc:Fallback>
              </mc:AlternateContent>
            </w: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163046, Архангельск, Воскресенская, д. 59, 2 этаж,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эл. почта: gazizova.natalya@internet.r</w:t>
            </w:r>
            <w:r>
              <w:rPr>
                <w:sz w:val="16"/>
                <w:szCs w:val="16"/>
              </w:rPr>
              <w:t xml:space="preserve">u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c>
          <w:tcPr>
            <w:tcW w:w="9922" w:type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vanish/>
          <w:sz w:val="20"/>
          <w:szCs w:val="20"/>
        </w:rPr>
      </w:pPr>
      <w:r>
        <w:rPr>
          <w:vanish/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1"/>
        <w:gridCol w:w="4961"/>
      </w:tblGrid>
      <w:tr>
        <w:trPr>
          <w:tblCellSpacing w:w="0" w:type="dxa"/>
        </w:trPr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Дата: 1 апреля 2026 г.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составления: Архангельск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Html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Решение об оценке имущества гражданина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арбитражного суда, в производстве которого находится дело о банкротстве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Арбитражный суд Республики Бурятия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дела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А10-1407/2025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принятия судебного акта о введении процедуры банкротства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08.12.2025 г.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назначения арбитражного у</w:t>
            </w:r>
            <w:r>
              <w:rPr>
                <w:sz w:val="20"/>
                <w:szCs w:val="20"/>
              </w:rPr>
              <w:t xml:space="preserve">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08.12.2025 г.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Html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об арбитражном управляющем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саморегулируемой организации арбитражных управляющих, членом которой является арбитражный управляющий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Союз "Саморегулируемая организация "Гильдия арбитражных управляющих"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и дата регистрации в едином государственном реестре саморегулируемых организаций арбитражных управляющих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001-5 от 19.12.2002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страховой организации, с которой заключен договор о </w:t>
            </w:r>
            <w:r>
              <w:rPr>
                <w:sz w:val="20"/>
                <w:szCs w:val="20"/>
              </w:rPr>
              <w:t xml:space="preserve">страховании ответственности арбитражного управляющего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Номер договора страхования, дата его заключения и срок действия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для направления корреспонденции арбитражному управляющему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163046, обл Архангельская, г Архангельск, ул Воскресенская, д 59, этаж 2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HtmlNormal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Сведения о должнике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53"/>
        <w:gridCol w:w="4953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Базарова Туяна Сергеевна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24.09.1998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рождения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с. Цакир Закаменский р-н Республика Бурятия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ИНН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030756360602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СНИЛС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172-042-404 22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жительства </w:t>
            </w:r>
            <w:r>
              <w:rPr>
                <w:sz w:val="20"/>
                <w:szCs w:val="20"/>
              </w:rPr>
            </w:r>
          </w:p>
        </w:tc>
        <w:tc>
          <w:tcPr>
            <w:tcW w:w="25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регистрация по месту жительства: 671056, Республика Бурятия, село Сотниково, ул Селенгинская, д 3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п. 2 ст. 213.26 Федерального закона от 26.10.2002 № 127-ФЗ «О несостоятельности (банкротстве)» (далее – Закон о банкротстве) оценка имущества гражданина, которое включено в конкурсную массу в соответствии с настоящим Федеральным законом, проводится финансовым управляющим самостоятельно, о чем финансовым управляющим принимается решение в письменной форме. Проведенная оценка может быть оспорена гражданином, кредиторами, уполномоченным органом в деле о банкротстве гражданина. </w:t>
      </w: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Оценка рыночной стоимости имущ</w:t>
      </w:r>
      <w:r>
        <w:rPr>
          <w:sz w:val="20"/>
          <w:szCs w:val="20"/>
        </w:rPr>
        <w:t xml:space="preserve">ества должника проводится в целях определения начальной цены продажи имущества в процедуре реализации имущества, для предоставления в деле о банкротстве гражданина в суд, гражданину, кредиторам, уполномоченным органам. </w:t>
      </w: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со ст. 14 Федерального зако</w:t>
      </w:r>
      <w:r>
        <w:rPr>
          <w:sz w:val="20"/>
          <w:szCs w:val="20"/>
        </w:rPr>
        <w:t xml:space="preserve">на от 29.07.1998 № 135-ФЗ «Об оценочной деятельности в Российской Федерации» оценщик имеет право применять самостоятельно методы проведения оценки объекта оценки в соответствии со стандартами оценки. Основными подходами, используемыми при проведении оценки, являются сравнительный, доходный и затратный подходы. Финансовый управляющий считает целесообразным отказаться от применения затратного и доходного подхода по причине отсутствия у финансового управляющего обоснов</w:t>
      </w:r>
      <w:r>
        <w:rPr>
          <w:sz w:val="20"/>
          <w:szCs w:val="20"/>
        </w:rPr>
        <w:t xml:space="preserve">анной и надежной информации о будущих доходах и расходах, связанных с оцениваемыми объектами, а также в связи с наличием достаточного количества объектов-аналогов на рынке для расчета сравнительным подходом. </w:t>
      </w: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Сравнительный подход служит для оценки рыночной стоимости объекта исходя из методов оценки, основанных на получении стоимости объекта оценки путем сравнения оцениваемого объекта с объектами-аналогами которые были проданы или предложены в продажу. </w:t>
      </w: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На основании п. 2 ст. 213.26 Закона о банкротстве, финансовый управляющий принял решение о самостоятельном проведении оценки имущества, включенного в конкурсную массу должника, путем проведения сравнительного анализа рыночных цен на аналогичное по характеристикам имущество, с учетом технических характеристик и корректировки на текущее состояние имущества должника на момент проведения оценки. </w:t>
      </w: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путем сравнительного анализа рыночных цен финансовый управляющий использовал данные о стоимости объектов-аналогов из объявлений, размещенных в открытых источниках в сети Интернет на специальных ресурсах по размещению объявлений о продаже, в том числе: _______________________________________________. </w:t>
      </w:r>
      <w:r>
        <w:rPr>
          <w:i/>
          <w:iCs/>
          <w:sz w:val="20"/>
          <w:szCs w:val="20"/>
        </w:rPr>
        <w:t xml:space="preserve">(указываются сайты по размещению объявлений о продаже объектов-аналогов, использованные для проведения оценки)</w:t>
      </w: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В результате проведения сравнительного анализа среднерыночной стоимости объектов, имеющих схожие характеристики с учетом корректировки на текущее состояние имуществ должника, финансовым управляющим определена следующая стоимость имущества должника по состоянию на 1 апреля 2026 г.: 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000000" w:sz="0" w:space="0"/>
          <w:insideV w:val="none" w:color="000000" w:sz="0" w:space="0"/>
        </w:tblBorders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496"/>
        <w:gridCol w:w="5953"/>
        <w:gridCol w:w="3472"/>
      </w:tblGrid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2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</w:t>
            </w:r>
            <w:r>
              <w:rPr>
                <w:sz w:val="20"/>
                <w:szCs w:val="20"/>
              </w:rPr>
            </w:r>
          </w:p>
        </w:tc>
        <w:tc>
          <w:tcPr>
            <w:tcW w:w="300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Наименование, характеристика объекта</w:t>
            </w:r>
            <w:r>
              <w:rPr>
                <w:sz w:val="20"/>
                <w:szCs w:val="20"/>
              </w:rPr>
            </w:r>
          </w:p>
        </w:tc>
        <w:tc>
          <w:tcPr>
            <w:tcW w:w="175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Рыночная стоимость,руб.</w:t>
            </w:r>
            <w:r>
              <w:rPr>
                <w:sz w:val="20"/>
                <w:szCs w:val="20"/>
              </w:rPr>
            </w:r>
          </w:p>
        </w:tc>
      </w:tr>
      <w:tr>
        <w:trPr>
          <w:tblCellSpacing w:w="0" w:type="dxa"/>
        </w:trP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000000" w:sz="0" w:space="0"/>
            <w:insideV w:val="none" w:color="000000" w:sz="0" w:space="0"/>
          </w:tblBorders>
        </w:tblPrEx>
        <w:tc>
          <w:tcPr>
            <w:tcW w:w="6449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Итого:</w:t>
            </w:r>
            <w:r>
              <w:rPr>
                <w:sz w:val="20"/>
                <w:szCs w:val="20"/>
              </w:rPr>
            </w:r>
          </w:p>
        </w:tc>
        <w:tc>
          <w:tcPr>
            <w:tcW w:w="3472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extDirection w:val="lrTb"/>
            <w:vAlign w:val="center"/>
          </w:tcPr>
          <w:p>
            <w:pPr>
              <w:pStyle w:val="Normal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0,00</w:t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UserStyle_5"/>
        <w:rPr>
          <w:sz w:val="20"/>
          <w:szCs w:val="20"/>
        </w:rPr>
      </w:pPr>
      <w:r>
        <w:rPr>
          <w:sz w:val="20"/>
          <w:szCs w:val="20"/>
        </w:rPr>
        <w:t xml:space="preserve">При проведении оценки рыночной стоимости имущества должника финансовый управляющий руководствовался федеральными стандартами оценки и Федеральным законом от 29.07.1998 № 135-ФЗ «Об оценочной деятельности в Российской Федерации». </w:t>
      </w: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tmlNormal"/>
        <w:ind w:firstLine="708"/>
        <w:rPr>
          <w:sz w:val="20"/>
          <w:szCs w:val="20"/>
        </w:rPr>
      </w:pPr>
      <w:r>
        <w:rPr>
          <w:sz w:val="20"/>
          <w:szCs w:val="20"/>
        </w:rPr>
        <w:t xml:space="preserve">Приложения: </w:t>
      </w:r>
      <w:r>
        <w:rPr>
          <w:sz w:val="20"/>
          <w:szCs w:val="20"/>
        </w:rPr>
      </w:r>
    </w:p>
    <w:p>
      <w:pPr>
        <w:pStyle w:val="Normal"/>
        <w:numPr>
          <w:numId w:val="1"/>
          <w:ilvl w:val="0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Документы, используемые финансовым управляющим и устанавливающие количественные и качественные характеристики имущества должника.</w:t>
      </w:r>
      <w:r>
        <w:rPr>
          <w:sz w:val="20"/>
          <w:szCs w:val="20"/>
        </w:rPr>
      </w:r>
    </w:p>
    <w:p>
      <w:pPr>
        <w:pStyle w:val="Normal"/>
        <w:numPr>
          <w:numId w:val="1"/>
          <w:ilvl w:val="0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Расчет стоимости имущества должника методом сравнительного анализа с объектами-аналогами.</w:t>
      </w:r>
      <w:r>
        <w:rPr>
          <w:sz w:val="20"/>
          <w:szCs w:val="20"/>
        </w:rPr>
      </w:r>
    </w:p>
    <w:p>
      <w:pPr>
        <w:pStyle w:val="Normal"/>
        <w:numPr>
          <w:numId w:val="1"/>
          <w:ilvl w:val="0"/>
        </w:numPr>
        <w:spacing w:before="100" w:beforeAutospacing="1" w:after="100" w:afterAutospacing="1"/>
        <w:rPr>
          <w:sz w:val="20"/>
          <w:szCs w:val="20"/>
        </w:rPr>
      </w:pPr>
      <w:r>
        <w:rPr>
          <w:sz w:val="20"/>
          <w:szCs w:val="20"/>
        </w:rPr>
        <w:t xml:space="preserve">Сведения о предложениях по продаже объектов-аналогов, размещенных в сети Интернет.</w:t>
      </w:r>
      <w:r>
        <w:rPr>
          <w:sz w:val="20"/>
          <w:szCs w:val="20"/>
        </w:rPr>
      </w:r>
    </w:p>
    <w:p>
      <w:pPr>
        <w:pStyle w:val="HtmlNormal"/>
        <w:rPr>
          <w:sz w:val="20"/>
          <w:szCs w:val="20"/>
        </w:rPr>
      </w:pPr>
      <w:r>
        <w:rPr>
          <w:sz w:val="20"/>
          <w:szCs w:val="20"/>
        </w:rPr>
        <w:t xml:space="preserve"> </w:t>
      </w:r>
      <w:r>
        <w:rPr>
          <w:sz w:val="20"/>
          <w:szCs w:val="20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45" w:type="dxa"/>
          <w:top w:w="45" w:type="dxa"/>
          <w:right w:w="45" w:type="dxa"/>
          <w:bottom w:w="45" w:type="dxa"/>
        </w:tblCellMar>
        <w:tblLook w:val="04A0" w:firstRow="1" w:lastRow="0" w:firstColumn="1" w:lastColumn="0" w:noHBand="0" w:noVBand="1"/>
      </w:tblPr>
      <w:tblGrid>
        <w:gridCol w:w="5250"/>
        <w:gridCol w:w="3300"/>
        <w:gridCol w:w="3000"/>
      </w:tblGrid>
      <w:tr>
        <w:trPr>
          <w:tblCellSpacing w:w="0" w:type="dxa"/>
        </w:trPr>
        <w:tc>
          <w:tcPr>
            <w:tcW w:w="525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tmlNormal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Финансовый управляющий</w:t>
              <w:br w:type="textWrapping" w:clear="all"/>
              <w:t xml:space="preserve">Базаровой Туяны Сергеевны</w:t>
            </w: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33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center"/>
          </w:tcPr>
          <w:p>
            <w:pPr>
              <w:pStyle w:val="Html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00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extDirection w:val="lrTb"/>
            <w:vAlign w:val="top"/>
          </w:tcPr>
          <w:p>
            <w:pPr>
              <w:pStyle w:val="HtmlNormal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</w:p>
        </w:tc>
      </w:tr>
    </w:tbl>
    <w:sectPr>
      <w:footerReference w:type="default" r:id="rId7"/>
      <w:type w:val="nextPage"/>
      <w:pgSz w:w="11907" w:h="16840"/>
      <w:pgMar w:top="851" w:right="851" w:bottom="851" w:left="1134" w:header="0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alibri Light">
    <w:panose1 w:val="020F03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HtmlNormal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</w:r>
  </w:p>
  <w:p>
    <w:pPr>
      <w:pStyle w:val="Normal"/>
      <w:rPr>
        <w:sz w:val="20"/>
        <w:szCs w:val="20"/>
      </w:rPr>
    </w:pPr>
    <w:r>
      <w:rPr>
        <w:sz w:val="20"/>
        <w:szCs w:val="20"/>
      </w:rPr>
      <w:fldChar w:fldCharType="end"/>
    </w:r>
    <w:r>
      <w:rPr>
        <w:sz w:val="20"/>
        <w:szCs w:val="20"/>
      </w:rPr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tabs>
          <w:tab w:val="num" w:pos="720" w:leader="none"/>
        </w:tabs>
        <w:ind w:left="720" w:hanging="360"/>
      </w:pPr>
    </w:lvl>
    <w:lvl w:ilvl="1">
      <w:start w:val="1"/>
      <w:numFmt w:val="decimal"/>
      <w:suff w:val="tab"/>
      <w:lvlText w:val="%2."/>
      <w:lvlJc w:val="left"/>
      <w:pPr>
        <w:pStyle w:val="Normal"/>
        <w:tabs>
          <w:tab w:val="num" w:pos="1440" w:leader="none"/>
        </w:tabs>
        <w:ind w:left="1440" w:hanging="360"/>
      </w:pPr>
    </w:lvl>
    <w:lvl w:ilvl="2">
      <w:start w:val="1"/>
      <w:numFmt w:val="decimal"/>
      <w:suff w:val="tab"/>
      <w:lvlText w:val="%3."/>
      <w:lvlJc w:val="left"/>
      <w:pPr>
        <w:pStyle w:val="Normal"/>
        <w:tabs>
          <w:tab w:val="num" w:pos="2160" w:leader="none"/>
        </w:tabs>
        <w:ind w:left="2160" w:hanging="360"/>
      </w:pPr>
    </w:lvl>
    <w:lvl w:ilvl="3">
      <w:start w:val="1"/>
      <w:numFmt w:val="decimal"/>
      <w:suff w:val="tab"/>
      <w:lvlText w:val="%4."/>
      <w:lvlJc w:val="left"/>
      <w:pPr>
        <w:pStyle w:val="Normal"/>
        <w:tabs>
          <w:tab w:val="num" w:pos="2880" w:leader="none"/>
        </w:tabs>
        <w:ind w:left="2880" w:hanging="360"/>
      </w:pPr>
    </w:lvl>
    <w:lvl w:ilvl="4">
      <w:start w:val="1"/>
      <w:numFmt w:val="decimal"/>
      <w:suff w:val="tab"/>
      <w:lvlText w:val="%5."/>
      <w:lvlJc w:val="left"/>
      <w:pPr>
        <w:pStyle w:val="Normal"/>
        <w:tabs>
          <w:tab w:val="num" w:pos="3600" w:leader="none"/>
        </w:tabs>
        <w:ind w:left="3600" w:hanging="360"/>
      </w:pPr>
    </w:lvl>
    <w:lvl w:ilvl="5">
      <w:start w:val="1"/>
      <w:numFmt w:val="decimal"/>
      <w:suff w:val="tab"/>
      <w:lvlText w:val="%6."/>
      <w:lvlJc w:val="left"/>
      <w:pPr>
        <w:pStyle w:val="Normal"/>
        <w:tabs>
          <w:tab w:val="num" w:pos="4320" w:leader="none"/>
        </w:tabs>
        <w:ind w:left="4320" w:hanging="360"/>
      </w:pPr>
    </w:lvl>
    <w:lvl w:ilvl="6">
      <w:start w:val="1"/>
      <w:numFmt w:val="decimal"/>
      <w:suff w:val="tab"/>
      <w:lvlText w:val="%7."/>
      <w:lvlJc w:val="left"/>
      <w:pPr>
        <w:pStyle w:val="Normal"/>
        <w:tabs>
          <w:tab w:val="num" w:pos="5040" w:leader="none"/>
        </w:tabs>
        <w:ind w:left="5040" w:hanging="360"/>
      </w:pPr>
    </w:lvl>
    <w:lvl w:ilvl="7">
      <w:start w:val="1"/>
      <w:numFmt w:val="decimal"/>
      <w:suff w:val="tab"/>
      <w:lvlText w:val="%8."/>
      <w:lvlJc w:val="left"/>
      <w:pPr>
        <w:pStyle w:val="Normal"/>
        <w:tabs>
          <w:tab w:val="num" w:pos="5760" w:leader="none"/>
        </w:tabs>
        <w:ind w:left="5760" w:hanging="360"/>
      </w:pPr>
    </w:lvl>
    <w:lvl w:ilvl="8">
      <w:start w:val="1"/>
      <w:numFmt w:val="decimal"/>
      <w:suff w:val="tab"/>
      <w:lvlText w:val="%9."/>
      <w:lvlJc w:val="left"/>
      <w:pPr>
        <w:pStyle w:val="Normal"/>
        <w:tabs>
          <w:tab w:val="num" w:pos="6480" w:leader="none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doNotSnapToGridInCell w:val="true"/>
    <w:doNotWrapTextWithPunct w:val="true"/>
    <w:doNotUseEastAsianBreakRules w:val="true"/>
    <w:growAutofit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rPr>
      <w:sz w:val="24"/>
      <w:szCs w:val="24"/>
      <w:lang w:val="ru-RU" w:eastAsia="ru-RU" w:bidi="ar-SA"/>
    </w:rPr>
  </w:style>
  <w:style w:type="paragraph" w:styleId="Heading1">
    <w:name w:val="Заголовок 1"/>
    <w:basedOn w:val="Normal"/>
    <w:next w:val="Heading1"/>
    <w:link w:val="UserStyle_0"/>
    <w:uiPriority w:val="9"/>
    <w:qFormat/>
    <w:pPr>
      <w:spacing w:before="100" w:beforeAutospacing="1" w:after="100" w:afterAutospacing="1"/>
      <w:outlineLvl w:val="0"/>
    </w:pPr>
    <w:rPr>
      <w:sz w:val="53"/>
      <w:szCs w:val="53"/>
    </w:rPr>
  </w:style>
  <w:style w:type="paragraph" w:styleId="Heading2">
    <w:name w:val="Заголовок 2"/>
    <w:basedOn w:val="Normal"/>
    <w:next w:val="Heading2"/>
    <w:link w:val="UserStyle_1"/>
    <w:uiPriority w:val="9"/>
    <w:qFormat/>
    <w:pPr>
      <w:spacing w:before="100" w:beforeAutospacing="1" w:after="100" w:afterAutospacing="1"/>
      <w:outlineLvl w:val="1"/>
    </w:pPr>
    <w:rPr>
      <w:sz w:val="43"/>
      <w:szCs w:val="43"/>
    </w:rPr>
  </w:style>
  <w:style w:type="paragraph" w:styleId="Heading3">
    <w:name w:val="Заголовок 3"/>
    <w:basedOn w:val="Normal"/>
    <w:next w:val="Heading3"/>
    <w:link w:val="UserStyle_2"/>
    <w:uiPriority w:val="9"/>
    <w:qFormat/>
    <w:pPr>
      <w:spacing w:before="100" w:beforeAutospacing="1" w:after="100" w:afterAutospacing="1"/>
      <w:outlineLvl w:val="2"/>
    </w:pPr>
    <w:rPr>
      <w:sz w:val="38"/>
      <w:szCs w:val="38"/>
    </w:rPr>
  </w:style>
  <w:style w:type="paragraph" w:styleId="Heading4">
    <w:name w:val="Заголовок 4"/>
    <w:basedOn w:val="Normal"/>
    <w:next w:val="Heading4"/>
    <w:link w:val="UserStyle_3"/>
    <w:uiPriority w:val="9"/>
    <w:qFormat/>
    <w:pPr>
      <w:spacing w:before="100" w:beforeAutospacing="1" w:after="100" w:afterAutospacing="1"/>
      <w:outlineLvl w:val="3"/>
    </w:pPr>
    <w:rPr>
      <w:b/>
      <w:bCs/>
      <w:sz w:val="29"/>
      <w:szCs w:val="29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character" w:styleId="UserStyle_0">
    <w:name w:val="Заголовок 1 Знак"/>
    <w:next w:val="UserStyle_0"/>
    <w:link w:val="Heading1"/>
    <w:uiPriority w:val="9"/>
    <w:rPr>
      <w:rFonts w:ascii="Calibri Light" w:hAnsi="Calibri Light" w:eastAsia="Times New Roman" w:cs="Times New Roman"/>
      <w:color w:val="2f5496"/>
      <w:sz w:val="40"/>
      <w:szCs w:val="40"/>
    </w:rPr>
  </w:style>
  <w:style w:type="character" w:styleId="UserStyle_1">
    <w:name w:val="Заголовок 2 Знак"/>
    <w:next w:val="UserStyle_1"/>
    <w:link w:val="Heading2"/>
    <w:uiPriority w:val="9"/>
    <w:semiHidden/>
    <w:rPr>
      <w:rFonts w:ascii="Calibri Light" w:hAnsi="Calibri Light" w:eastAsia="Times New Roman" w:cs="Times New Roman"/>
      <w:color w:val="2f5496"/>
      <w:sz w:val="32"/>
      <w:szCs w:val="32"/>
    </w:rPr>
  </w:style>
  <w:style w:type="character" w:styleId="UserStyle_2">
    <w:name w:val="Заголовок 3 Знак"/>
    <w:next w:val="UserStyle_2"/>
    <w:link w:val="Heading3"/>
    <w:uiPriority w:val="9"/>
    <w:semiHidden/>
    <w:rPr>
      <w:rFonts w:ascii="Calibri" w:hAnsi="Calibri" w:eastAsia="Times New Roman" w:cs="Times New Roman"/>
      <w:color w:val="2f5496"/>
      <w:sz w:val="28"/>
      <w:szCs w:val="28"/>
    </w:rPr>
  </w:style>
  <w:style w:type="character" w:styleId="UserStyle_3">
    <w:name w:val="Заголовок 4 Знак"/>
    <w:next w:val="UserStyle_3"/>
    <w:link w:val="Heading4"/>
    <w:uiPriority w:val="9"/>
    <w:semiHidden/>
    <w:rPr>
      <w:rFonts w:ascii="Calibri" w:hAnsi="Calibri" w:eastAsia="Times New Roman" w:cs="Times New Roman"/>
      <w:i/>
      <w:iCs/>
      <w:color w:val="2f5496"/>
      <w:sz w:val="24"/>
      <w:szCs w:val="24"/>
    </w:rPr>
  </w:style>
  <w:style w:type="paragraph" w:styleId="UserStyle_4">
    <w:name w:val="msonormal"/>
    <w:basedOn w:val="Normal"/>
    <w:next w:val="UserStyle_4"/>
    <w:link w:val="Normal"/>
    <w:pPr>
      <w:spacing w:before="120" w:after="120"/>
    </w:pPr>
  </w:style>
  <w:style w:type="paragraph" w:styleId="HtmlNormal">
    <w:name w:val="Обычный (Интернет)"/>
    <w:basedOn w:val="Normal"/>
    <w:next w:val="HtmlNormal"/>
    <w:link w:val="Normal"/>
    <w:uiPriority w:val="99"/>
    <w:unhideWhenUsed/>
    <w:pPr>
      <w:spacing w:before="120" w:after="120"/>
    </w:pPr>
  </w:style>
  <w:style w:type="paragraph" w:styleId="UserStyle_5">
    <w:name w:val="indent"/>
    <w:basedOn w:val="Normal"/>
    <w:next w:val="UserStyle_5"/>
    <w:link w:val="Normal"/>
    <w:pPr>
      <w:spacing w:before="120" w:after="120"/>
      <w:ind w:firstLine="708"/>
      <w:jc w:val="both"/>
    </w:pPr>
  </w:style>
  <w:style w:type="paragraph" w:styleId="UserStyle_6">
    <w:name w:val="indnomrg"/>
    <w:basedOn w:val="Normal"/>
    <w:next w:val="UserStyle_6"/>
    <w:link w:val="Normal"/>
    <w:pPr>
      <w:ind w:firstLine="708"/>
      <w:jc w:val="both"/>
    </w:pPr>
  </w:style>
  <w:style w:type="paragraph" w:styleId="UserStyle_7">
    <w:name w:val="nomrg"/>
    <w:basedOn w:val="Normal"/>
    <w:next w:val="UserStyle_7"/>
    <w:link w:val="Normal"/>
    <w:pPr>
      <w:jc w:val="both"/>
    </w:pPr>
  </w:style>
  <w:style w:type="paragraph" w:styleId="UserStyle_8">
    <w:name w:val="zagolovok6"/>
    <w:next w:val="UserStyle_8"/>
    <w:link w:val="Normal"/>
    <w:qFormat/>
    <w:rPr>
      <w:sz w:val="24"/>
      <w:szCs w:val="24"/>
      <w:lang w:val="ru-RU" w:eastAsia="ru-RU" w:bidi="ar-SA"/>
    </w:rPr>
  </w:style>
  <w:style w:type="paragraph" w:styleId="Footer">
    <w:name w:val="Нижний колонтитул"/>
    <w:basedOn w:val="Normal"/>
    <w:next w:val="Footer"/>
    <w:link w:val="UserStyle_9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UserStyle_9">
    <w:name w:val="Нижний колонтитул Знак"/>
    <w:next w:val="UserStyle_9"/>
    <w:link w:val="Footer"/>
    <w:uiPriority w:val="99"/>
    <w:rPr>
      <w:rFonts w:eastAsia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er" Target="footer1.xml" /></Relationships>
</file>

<file path=word/_rels/foot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4309</Characters>
  <CharactersWithSpaces>5054</CharactersWithSpaces>
  <DocSecurity>0</DocSecurity>
  <HyperlinksChanged>false</HyperlinksChanged>
  <Lines>35</Lines>
  <Pages>2</Pages>
  <Paragraphs>10</Paragraphs>
  <ScaleCrop>false</ScaleCrop>
  <SharedDoc>false</SharedDoc>
  <Template>Normal</Template>
  <Words>755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об оценке имущества гражданина</dc:title>
  <dc:creator>VU8K</dc:creator>
  <cp:lastModifiedBy>alesh</cp:lastModifiedBy>
  <cp:revision>2</cp:revision>
  <dcterms:created xsi:type="dcterms:W3CDTF">2026-04-01T14:08:00Z</dcterms:created>
  <dcterms:modified xsi:type="dcterms:W3CDTF">2026-04-01T14:08:00Z</dcterms:modified>
  <cp:version>1048576</cp:version>
</cp:coreProperties>
</file>