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618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Республики Бурятия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Базаровой Туяны Сергеевны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61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Базаровой Туяны Сергеевны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24.09.1998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Цакир Закаменский р-н Республика Бурятия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172-042-404 22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030756360602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671056, Республика Бурятия, село Сотниково, ул Селенгинская, д 3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Описание,</w:t>
                  </w:r>
                  <w:r>
                    <w:t xml:space="preserve">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ТОЙОТА ПАССО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2009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Р715НА03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отсутствует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K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C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</w:t>
                  </w:r>
                  <w:r>
                    <w:rPr>
                      <w:sz w:val="20"/>
                      <w:szCs w:val="20"/>
                    </w:rPr>
                    <w:t xml:space="preserve">Серый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1175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900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618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280000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618"/>
                    <w:jc w:val="center"/>
                  </w:pPr>
                  <w:r/>
                  <w:r/>
                </w:p>
              </w:tc>
            </w:tr>
          </w:tbl>
          <w:p>
            <w:pPr>
              <w:pStyle w:val="6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</w:rPr>
              <w:t xml:space="preserve">671056, Республика Бурятия, село Сотниково, ул Селенгинская, д 3</w:t>
            </w:r>
            <w:r>
              <w:rPr>
                <w:sz w:val="20"/>
                <w:szCs w:val="20"/>
              </w:rP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89600</w:t>
            </w:r>
            <w:r>
              <w:rPr>
                <w:sz w:val="20"/>
                <w:szCs w:val="20"/>
              </w:rPr>
              <w:t xml:space="preserve">091050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</w:t>
            </w:r>
            <w:r>
              <w:t xml:space="preserve">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Финансовый управляющий </w:t>
            </w:r>
            <w:r>
              <w:t xml:space="preserve">Базаровой Туяны Сергеевны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</w:t>
            </w:r>
            <w:r>
              <w:t xml:space="preserve">ражного суда Республики Бурятия от 08.12.2025 г. по делу № А10-1407/2025</w:t>
            </w:r>
            <w:r/>
          </w:p>
          <w:p>
            <w:pPr>
              <w:pStyle w:val="618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618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618"/>
            </w:pPr>
            <w:r>
              <w:t xml:space="preserve">- определяет участников торгов;</w:t>
            </w:r>
            <w:r/>
          </w:p>
          <w:p>
            <w:pPr>
              <w:pStyle w:val="618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618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618"/>
            </w:pPr>
            <w:r>
              <w:t xml:space="preserve">Сведения об организаторе торгов:</w:t>
            </w:r>
            <w:r/>
          </w:p>
          <w:p>
            <w:pPr>
              <w:pStyle w:val="618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</w:t>
            </w:r>
            <w:r>
              <w:t xml:space="preserve">, ул Воскресенская, д 59, этаж 2</w:t>
            </w:r>
            <w:r/>
          </w:p>
          <w:p>
            <w:pPr>
              <w:pStyle w:val="618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618"/>
            </w:pPr>
            <w:r>
              <w:t xml:space="preserve">- контактный номер: </w:t>
            </w:r>
            <w:r>
              <w:rPr>
                <w:sz w:val="20"/>
                <w:szCs w:val="20"/>
              </w:rPr>
              <w:t xml:space="preserve">89600</w:t>
            </w:r>
            <w:r>
              <w:rPr>
                <w:sz w:val="20"/>
                <w:szCs w:val="20"/>
              </w:rPr>
              <w:t xml:space="preserve">091050</w:t>
            </w:r>
            <w:r>
              <w:rPr>
                <w:sz w:val="20"/>
                <w:szCs w:val="20"/>
              </w:rPr>
              <w:t xml:space="preserve">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Торги проводятся в электронной форме на электронной площадке Аукцион 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в сети Интернет.</w:t>
            </w:r>
            <w:r/>
            <w:r/>
          </w:p>
          <w:p>
            <w:pPr>
              <w:pStyle w:val="618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rPr>
                <w:i/>
              </w:rPr>
              <w:t xml:space="preserve">10 %</w:t>
            </w:r>
            <w:r>
              <w:t xml:space="preserve"> 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</w:p>
          <w:p>
            <w:pPr>
              <w:pStyle w:val="618"/>
              <w:rPr>
                <w:highlight w:val="none"/>
              </w:rPr>
            </w:pPr>
            <w:r>
              <w:t xml:space="preserve">2. Внесение зада</w:t>
            </w:r>
            <w:r>
              <w:t xml:space="preserve">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618"/>
            </w:pPr>
            <w:r>
              <w:t xml:space="preserve">Получатель: </w:t>
            </w:r>
            <w:r/>
            <w:r>
              <w:t xml:space="preserve">БАЗАРОВА ТУЯНА СЕРГЕЕВНА</w:t>
            </w:r>
            <w:r/>
            <w:r/>
          </w:p>
          <w:p>
            <w:pPr>
              <w:pStyle w:val="618"/>
            </w:pPr>
            <w:r>
              <w:t xml:space="preserve">Номер счёта: </w:t>
            </w:r>
            <w:r>
              <w:t xml:space="preserve">40817810104002385559</w:t>
            </w:r>
            <w:r/>
            <w:r/>
          </w:p>
          <w:p>
            <w:pPr>
              <w:pStyle w:val="618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  <w:r/>
          </w:p>
          <w:p>
            <w:pPr>
              <w:pStyle w:val="618"/>
            </w:pPr>
            <w:r>
              <w:t xml:space="preserve">БИК: 041117601</w:t>
            </w:r>
            <w:r/>
            <w:r/>
          </w:p>
          <w:p>
            <w:pPr>
              <w:pStyle w:val="618"/>
            </w:pPr>
            <w:r>
              <w:t xml:space="preserve">Корр. счёт: </w:t>
            </w:r>
            <w:r/>
            <w:r>
              <w:t xml:space="preserve">30101810100000000601</w:t>
            </w:r>
            <w:r/>
            <w:r/>
          </w:p>
          <w:p>
            <w:pPr>
              <w:pStyle w:val="618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618"/>
            </w:pPr>
            <w:r>
              <w:t xml:space="preserve">КПП: </w:t>
            </w:r>
            <w:r>
              <w:t xml:space="preserve">290102001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Лот № 1: </w:t>
            </w:r>
            <w:r>
              <w:rPr>
                <w:i/>
              </w:rPr>
              <w:t xml:space="preserve">10 %</w:t>
            </w:r>
            <w:r>
              <w:t xml:space="preserve"> </w:t>
            </w:r>
            <w:r/>
            <w:r/>
          </w:p>
          <w:p>
            <w:pPr>
              <w:pStyle w:val="618"/>
            </w:pP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  <w:r/>
          </w:p>
          <w:p>
            <w:pPr>
              <w:pStyle w:val="618"/>
            </w:pPr>
            <w:r>
              <w:t xml:space="preserve">Текст сообщения должен содержать следующие сведения:</w:t>
            </w:r>
            <w:r/>
            <w:r/>
          </w:p>
          <w:p>
            <w:pPr>
              <w:pStyle w:val="618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  <w:r/>
          </w:p>
          <w:p>
            <w:pPr>
              <w:pStyle w:val="618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  <w:r/>
          </w:p>
          <w:p>
            <w:pPr>
              <w:pStyle w:val="618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  <w:r/>
          </w:p>
          <w:p>
            <w:pPr>
              <w:pStyle w:val="618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  <w:r/>
          </w:p>
          <w:p>
            <w:pPr>
              <w:pStyle w:val="618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имущества;</w:t>
            </w:r>
            <w:r/>
            <w:r/>
          </w:p>
          <w:p>
            <w:pPr>
              <w:pStyle w:val="618"/>
            </w:pPr>
            <w:r>
              <w:t xml:space="preserve">величина повышения начальной цены продажи имущества ("шаг аукциона");</w:t>
            </w:r>
            <w:r/>
            <w:r/>
          </w:p>
          <w:p>
            <w:pPr>
              <w:pStyle w:val="618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  <w:r/>
          </w:p>
          <w:p>
            <w:pPr>
              <w:pStyle w:val="618"/>
            </w:pPr>
            <w:r>
              <w:t xml:space="preserve">дата, время и место подведения результатов торгов;</w:t>
            </w:r>
            <w:r/>
            <w:r/>
          </w:p>
          <w:p>
            <w:pPr>
              <w:pStyle w:val="618"/>
            </w:pPr>
            <w:r>
              <w:t xml:space="preserve">порядок и срок заключения договора купли-продажи имущества;</w:t>
            </w:r>
            <w:r/>
            <w:r/>
          </w:p>
          <w:p>
            <w:pPr>
              <w:pStyle w:val="618"/>
            </w:pPr>
            <w:r>
              <w:t xml:space="preserve">сроки платежей, реквизиты счетов, на которые вносятся платежи;</w:t>
            </w:r>
            <w:r/>
            <w:r/>
          </w:p>
          <w:p>
            <w:pPr>
              <w:pStyle w:val="618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18"/>
            </w:pPr>
            <w:r>
              <w:t xml:space="preserve">а) наименование, организационно-правовая форма, мест</w:t>
            </w:r>
            <w:r>
              <w:t xml:space="preserve">о нахождения, почтовый адрес заявителя (для юридического лица);</w:t>
            </w:r>
            <w:r/>
          </w:p>
          <w:p>
            <w:pPr>
              <w:pStyle w:val="618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18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618"/>
            </w:pPr>
            <w:r>
              <w:t xml:space="preserve">г) сведения о наличии или об отсут</w:t>
            </w:r>
            <w:r>
              <w:t xml:space="preserve">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</w:t>
            </w:r>
            <w:r>
              <w:t xml:space="preserve">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18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</w:t>
            </w:r>
            <w:r>
              <w:t xml:space="preserve"> задатке и направляет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18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</w:t>
            </w:r>
            <w:r>
              <w:t xml:space="preserve">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18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618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</w:t>
            </w:r>
            <w:r>
              <w:t xml:space="preserve">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/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после окончания срока пре</w:t>
            </w:r>
            <w:r>
              <w:t xml:space="preserve">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18"/>
            </w:pPr>
            <w:r>
              <w:t xml:space="preserve">Организатор торгов посредств</w:t>
            </w:r>
            <w:r>
              <w:t xml:space="preserve">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</w:t>
            </w:r>
            <w:r>
              <w:t xml:space="preserve">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18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</w:t>
            </w:r>
            <w:r>
              <w:t xml:space="preserve">на участие в торгах и не отозвана до окончания срока представления заявок на участие в торгах, электронное сообщение</w:t>
            </w:r>
            <w:r>
              <w:t xml:space="preserve">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18"/>
            </w:pPr>
            <w: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</w:t>
            </w:r>
            <w:r>
              <w:t xml:space="preserve">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18"/>
            </w:pPr>
            <w:r>
              <w:t xml:space="preserve">Решение об отказе в допуске заявителя к участию в торгах принимается</w:t>
            </w:r>
            <w:r>
              <w:t xml:space="preserve"> в случае, если:</w:t>
            </w:r>
            <w:r/>
          </w:p>
          <w:p>
            <w:pPr>
              <w:pStyle w:val="618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18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618"/>
            </w:pPr>
            <w:r>
              <w:t xml:space="preserve">- поступление задатка на счета, указанные в сообщении о проведен</w:t>
            </w:r>
            <w:r>
              <w:t xml:space="preserve">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торгах могут принимать участие только лица, признанные участниками торгов. Торги проводятся на элект</w:t>
            </w:r>
            <w:r>
              <w:t xml:space="preserve">ронной площадке в день и время, указанные в сообщении о продаже.</w:t>
            </w:r>
            <w:r/>
          </w:p>
          <w:p>
            <w:pPr>
              <w:pStyle w:val="618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18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18"/>
            </w:pPr>
            <w:r>
              <w:t xml:space="preserve">Если в течение одного часа с момента начала представления предложений о цене не поступило н</w:t>
            </w:r>
            <w:r>
              <w:t xml:space="preserve">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18"/>
            </w:pPr>
            <w:r>
              <w:t xml:space="preserve">Если в течение тридцати минут после представления последнего предложения о цене (не учитывая отклонен</w:t>
            </w:r>
            <w:r>
              <w:t xml:space="preserve">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18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</w:t>
            </w:r>
            <w:r>
              <w:t xml:space="preserve">ли:</w:t>
            </w:r>
            <w:r/>
          </w:p>
          <w:p>
            <w:pPr>
              <w:pStyle w:val="618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18"/>
            </w:pPr>
            <w:r>
              <w:t xml:space="preserve">б) предложение о цене увеличено </w:t>
            </w:r>
            <w:r>
              <w:t xml:space="preserve">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18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618"/>
            </w:pPr>
            <w:r>
              <w:t xml:space="preserve">Выигравшим аукцион признается участник, предложивший наиболее высокую цену за пр</w:t>
            </w:r>
            <w:r>
              <w:t xml:space="preserve">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</w:t>
            </w:r>
            <w:r>
              <w:t xml:space="preserve">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18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18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</w:t>
            </w:r>
            <w:r>
              <w:t xml:space="preserve">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18"/>
            </w:pPr>
            <w:r>
              <w:t xml:space="preserve">Оператором электронной площадки с помощью программно-апп</w:t>
            </w:r>
            <w:r>
              <w:t xml:space="preserve">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18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18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</w:t>
            </w:r>
            <w:r>
              <w:t xml:space="preserve">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18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18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18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618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  <w:r/>
          </w:p>
          <w:p>
            <w:pPr>
              <w:pStyle w:val="618"/>
            </w:pPr>
            <w:r>
              <w:t xml:space="preserve">Получатель: </w:t>
            </w:r>
            <w:r>
              <w:t xml:space="preserve">БАЗАРОВА ТУЯНА СЕРГЕЕВНА</w:t>
            </w:r>
            <w:r/>
            <w:r/>
          </w:p>
          <w:p>
            <w:pPr>
              <w:pStyle w:val="618"/>
            </w:pPr>
            <w:r>
              <w:t xml:space="preserve">Номер счёта: </w:t>
            </w:r>
            <w:r>
              <w:t xml:space="preserve">40817810104002385559</w:t>
            </w:r>
            <w:r/>
            <w:r/>
          </w:p>
          <w:p>
            <w:pPr>
              <w:pStyle w:val="618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  <w:r/>
          </w:p>
          <w:p>
            <w:pPr>
              <w:pStyle w:val="618"/>
            </w:pPr>
            <w:r>
              <w:t xml:space="preserve">БИК: 041117601</w:t>
            </w:r>
            <w:r/>
            <w:r/>
          </w:p>
          <w:p>
            <w:pPr>
              <w:pStyle w:val="618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618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618"/>
            </w:pPr>
            <w:r>
              <w:t xml:space="preserve">КПП: </w:t>
            </w:r>
            <w:r>
              <w:t xml:space="preserve">290102001</w:t>
            </w:r>
            <w:r/>
            <w:r/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18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618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618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618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618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618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624"/>
                <w:color w:val="000000"/>
                <w:u w:val="none"/>
              </w:rPr>
              <w:t xml:space="preserve">законодательством</w:t>
            </w:r>
            <w:r>
              <w:rPr>
                <w:rStyle w:val="624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18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618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618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618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618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618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618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618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618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618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618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618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618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618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618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618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618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618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618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618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618"/>
            </w:pPr>
            <w:r/>
            <w:r/>
            <w:r/>
          </w:p>
          <w:p>
            <w:pPr>
              <w:pStyle w:val="618"/>
            </w:pPr>
            <w:r/>
          </w:p>
        </w:tc>
      </w:tr>
    </w:tbl>
    <w:p>
      <w:pPr>
        <w:pStyle w:val="618"/>
      </w:pPr>
      <w:r/>
      <w:r/>
    </w:p>
    <w:p>
      <w:pPr>
        <w:pStyle w:val="618"/>
        <w:jc w:val="both"/>
      </w:pPr>
      <w:r/>
      <w:r/>
    </w:p>
    <w:p>
      <w:pPr>
        <w:pStyle w:val="618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18"/>
            </w:pPr>
            <w:r/>
            <w:r/>
          </w:p>
          <w:p>
            <w:pPr>
              <w:pStyle w:val="618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Базаровой Туяны Сергеевны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618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618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next w:val="618"/>
    <w:link w:val="618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619">
    <w:name w:val="Основной шрифт абзаца"/>
    <w:next w:val="619"/>
    <w:link w:val="618"/>
    <w:uiPriority w:val="1"/>
    <w:semiHidden/>
    <w:unhideWhenUsed/>
  </w:style>
  <w:style w:type="table" w:styleId="620">
    <w:name w:val="Обычная таблица"/>
    <w:next w:val="620"/>
    <w:link w:val="618"/>
    <w:uiPriority w:val="99"/>
    <w:semiHidden/>
    <w:unhideWhenUsed/>
    <w:tblPr/>
  </w:style>
  <w:style w:type="numbering" w:styleId="621">
    <w:name w:val="Нет списка"/>
    <w:next w:val="621"/>
    <w:link w:val="618"/>
    <w:uiPriority w:val="99"/>
    <w:semiHidden/>
    <w:unhideWhenUsed/>
  </w:style>
  <w:style w:type="paragraph" w:styleId="622">
    <w:name w:val="Обычный1"/>
    <w:next w:val="622"/>
    <w:link w:val="618"/>
    <w:rPr>
      <w:rFonts w:ascii="Times New Roman" w:hAnsi="Times New Roman" w:eastAsia="Times New Roman"/>
      <w:lang w:val="ru-RU" w:eastAsia="ru-RU" w:bidi="ar-SA"/>
    </w:rPr>
  </w:style>
  <w:style w:type="table" w:styleId="623">
    <w:name w:val="Сетка таблицы"/>
    <w:basedOn w:val="620"/>
    <w:next w:val="623"/>
    <w:link w:val="618"/>
    <w:uiPriority w:val="59"/>
    <w:pPr>
      <w:spacing w:after="0" w:line="240" w:lineRule="auto"/>
    </w:pPr>
    <w:tblPr/>
  </w:style>
  <w:style w:type="character" w:styleId="624">
    <w:name w:val="Гиперссылка"/>
    <w:next w:val="624"/>
    <w:link w:val="618"/>
    <w:uiPriority w:val="99"/>
    <w:unhideWhenUsed/>
    <w:rPr>
      <w:color w:val="0000ff"/>
      <w:u w:val="single"/>
    </w:rPr>
  </w:style>
  <w:style w:type="paragraph" w:styleId="625">
    <w:name w:val="ConsPlusNonformat"/>
    <w:next w:val="625"/>
    <w:link w:val="618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26">
    <w:name w:val="Обычный (веб)"/>
    <w:basedOn w:val="618"/>
    <w:next w:val="626"/>
    <w:link w:val="618"/>
    <w:pPr>
      <w:spacing w:before="240" w:after="240"/>
      <w:widowControl/>
    </w:pPr>
    <w:rPr>
      <w:sz w:val="24"/>
      <w:szCs w:val="24"/>
    </w:rPr>
  </w:style>
  <w:style w:type="character" w:styleId="1990" w:default="1">
    <w:name w:val="Default Paragraph Font"/>
    <w:uiPriority w:val="1"/>
    <w:semiHidden/>
    <w:unhideWhenUsed/>
  </w:style>
  <w:style w:type="numbering" w:styleId="1991" w:default="1">
    <w:name w:val="No List"/>
    <w:uiPriority w:val="99"/>
    <w:semiHidden/>
    <w:unhideWhenUsed/>
  </w:style>
  <w:style w:type="table" w:styleId="199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2026-04-01T14:05:00Z</dcterms:created>
  <dcterms:modified xsi:type="dcterms:W3CDTF">2026-04-01T14:41:15Z</dcterms:modified>
  <cp:version>1048576</cp:version>
</cp:coreProperties>
</file>