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8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Ростовской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Михеевой Татьяны Борисовны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2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Михеевой Татьяны Борисовны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19.08.1953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ст. Китаб Шахризябского р-на Кашкадарьинской обл.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058-046-644 69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616501260187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344064, Ростовская область, г Ростов-на-Дону, ул 2-й Пятилетки, д 5/2, кв 4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Сведения об имуществе и порядке ознакомления с н</w:t>
            </w:r>
            <w:r>
              <w:t xml:space="preserve">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</w:t>
                  </w:r>
                  <w:r>
                    <w:rPr>
                      <w:sz w:val="20"/>
                      <w:szCs w:val="20"/>
                    </w:rPr>
                    <w:t xml:space="preserve">H</w:t>
                  </w:r>
                  <w:r>
                    <w:rPr>
                      <w:sz w:val="20"/>
                      <w:szCs w:val="20"/>
                    </w:rPr>
                    <w:t xml:space="preserve">Y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N</w:t>
                  </w:r>
                  <w:r>
                    <w:rPr>
                      <w:sz w:val="20"/>
                      <w:szCs w:val="20"/>
                    </w:rPr>
                    <w:t xml:space="preserve">D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I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G</w:t>
                  </w:r>
                  <w:r>
                    <w:rPr>
                      <w:sz w:val="20"/>
                      <w:szCs w:val="20"/>
                    </w:rPr>
                    <w:t xml:space="preserve">E</w:t>
                  </w:r>
                  <w:r>
                    <w:rPr>
                      <w:sz w:val="20"/>
                      <w:szCs w:val="20"/>
                    </w:rPr>
                    <w:t xml:space="preserve">T</w:t>
                  </w:r>
                  <w:r>
                    <w:rPr>
                      <w:sz w:val="20"/>
                      <w:szCs w:val="20"/>
                    </w:rPr>
                    <w:t xml:space="preserve">Z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G</w:t>
                  </w:r>
                  <w:r>
                    <w:rPr>
                      <w:sz w:val="20"/>
                      <w:szCs w:val="20"/>
                    </w:rPr>
                    <w:t xml:space="preserve">L</w:t>
                  </w:r>
                  <w:r>
                    <w:rPr>
                      <w:sz w:val="20"/>
                      <w:szCs w:val="20"/>
                    </w:rPr>
                    <w:t xml:space="preserve">S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.</w:t>
                  </w: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</w:t>
                  </w:r>
                  <w:r>
                    <w:rPr>
                      <w:sz w:val="20"/>
                      <w:szCs w:val="20"/>
                    </w:rPr>
                    <w:t xml:space="preserve">А696ОН761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</w:rPr>
                    <w:t xml:space="preserve">K</w:t>
                  </w:r>
                  <w:r>
                    <w:rPr>
                      <w:sz w:val="20"/>
                      <w:szCs w:val="20"/>
                    </w:rPr>
                    <w:t xml:space="preserve">M</w:t>
                  </w:r>
                  <w:r>
                    <w:rPr>
                      <w:sz w:val="20"/>
                      <w:szCs w:val="20"/>
                    </w:rPr>
                    <w:t xml:space="preserve">H</w:t>
                  </w:r>
                  <w:r>
                    <w:rPr>
                      <w:sz w:val="20"/>
                      <w:szCs w:val="20"/>
                    </w:rPr>
                    <w:t xml:space="preserve">B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B</w:t>
                  </w:r>
                  <w:r>
                    <w:rPr>
                      <w:sz w:val="20"/>
                      <w:szCs w:val="20"/>
                    </w:rPr>
                    <w:t xml:space="preserve">P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комби (Хэтчбэк)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K</w:t>
                  </w:r>
                  <w:r>
                    <w:rPr>
                      <w:sz w:val="20"/>
                      <w:szCs w:val="20"/>
                    </w:rPr>
                    <w:t xml:space="preserve">M</w:t>
                  </w:r>
                  <w:r>
                    <w:rPr>
                      <w:sz w:val="20"/>
                      <w:szCs w:val="20"/>
                    </w:rPr>
                    <w:t xml:space="preserve">H</w:t>
                  </w:r>
                  <w:r>
                    <w:rPr>
                      <w:sz w:val="20"/>
                      <w:szCs w:val="20"/>
                    </w:rPr>
                    <w:t xml:space="preserve">B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B</w:t>
                  </w:r>
                  <w:r>
                    <w:rPr>
                      <w:sz w:val="20"/>
                      <w:szCs w:val="20"/>
                    </w:rPr>
                    <w:t xml:space="preserve">P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серебристый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1510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050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379 000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</w:tr>
          </w:tbl>
          <w:p>
            <w:pPr>
              <w:pStyle w:val="618"/>
            </w:pPr>
            <w:r>
              <w:t xml:space="preserve">Ознакомление с имуществом производится по адресу:</w:t>
            </w:r>
            <w:r>
              <w:rPr>
                <w:sz w:val="24"/>
                <w:szCs w:val="24"/>
              </w:rPr>
              <w:t xml:space="preserve"> 344064, Ростовская область, г Ростов-на-Дону, ул 2-й Пятилетки, д 5/2, кв 4</w:t>
            </w:r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/>
            <w:r>
              <w:t xml:space="preserve"> </w:t>
            </w:r>
            <w:r>
              <w:t xml:space="preserve">89600</w:t>
            </w:r>
            <w:r>
              <w:t xml:space="preserve">091050</w:t>
            </w:r>
            <w:r/>
            <w:r/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Финансовый управляющий </w:t>
            </w:r>
            <w:r>
              <w:t xml:space="preserve">Михеевой Татьяны Борисовны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</w:t>
            </w:r>
            <w:r>
              <w:t xml:space="preserve">овании решения Арбитражного суда Ростовской области от 21.05.2025 г. по делу № А53-12173/2025 Ф.Ф. Ерёмин</w:t>
            </w:r>
            <w:r/>
          </w:p>
          <w:p>
            <w:pPr>
              <w:pStyle w:val="618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8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618"/>
            </w:pPr>
            <w:r>
              <w:t xml:space="preserve">- определяет участников торгов;</w:t>
            </w:r>
            <w:r/>
          </w:p>
          <w:p>
            <w:pPr>
              <w:pStyle w:val="618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18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Сведения об организаторе торгов:</w:t>
            </w:r>
            <w:r/>
          </w:p>
          <w:p>
            <w:pPr>
              <w:pStyle w:val="618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</w:t>
            </w:r>
            <w:r>
              <w:t xml:space="preserve"> обл Архангельская, г Архангельск, ул Воскресенская, д 59, этаж 2</w:t>
            </w:r>
            <w:r/>
          </w:p>
          <w:p>
            <w:pPr>
              <w:pStyle w:val="618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618"/>
            </w:pPr>
            <w:r>
              <w:t xml:space="preserve">- контактный номер: </w:t>
            </w:r>
            <w:r/>
            <w:r/>
            <w:r>
              <w:t xml:space="preserve">89600</w:t>
            </w:r>
            <w:r>
              <w:t xml:space="preserve">091050</w:t>
            </w:r>
            <w:r>
              <w:t xml:space="preserve">.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должника осуществляется путем проведения открытых торгов в ф</w:t>
            </w:r>
            <w:r>
              <w:t xml:space="preserve">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Торги проводятся в электронной форме на электронной площадке АукционПРО,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</w:t>
            </w:r>
            <w:r>
              <w:t xml:space="preserve"> в сети И</w:t>
            </w:r>
            <w:r>
              <w:t xml:space="preserve">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 </w:t>
            </w:r>
            <w:r>
              <w:t xml:space="preserve">10 %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618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618"/>
            </w:pPr>
            <w:r>
              <w:t xml:space="preserve">Получатель:</w:t>
            </w:r>
            <w:r>
              <w:t xml:space="preserve">МИХЕЕВА ТАТЬЯНА БОРИСОВНА</w:t>
            </w:r>
            <w:r/>
            <w:r/>
          </w:p>
          <w:p>
            <w:pPr>
              <w:pStyle w:val="618"/>
            </w:pPr>
            <w:r>
              <w:t xml:space="preserve">Номер счёта: </w:t>
            </w:r>
            <w:r>
              <w:t xml:space="preserve">40817810804002398419</w:t>
            </w:r>
            <w:r/>
            <w:r/>
          </w:p>
          <w:p>
            <w:pPr>
              <w:pStyle w:val="618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  <w:r/>
          </w:p>
          <w:p>
            <w:pPr>
              <w:pStyle w:val="618"/>
            </w:pPr>
            <w:r>
              <w:t xml:space="preserve">БИК: 041117601</w:t>
            </w:r>
            <w:r/>
            <w:r/>
          </w:p>
          <w:p>
            <w:pPr>
              <w:pStyle w:val="618"/>
            </w:pPr>
            <w:r>
              <w:t xml:space="preserve">Корр. счёт: 30101810100000000601</w:t>
            </w:r>
            <w:r/>
            <w:r/>
          </w:p>
          <w:p>
            <w:pPr>
              <w:pStyle w:val="618"/>
            </w:pPr>
            <w:r>
              <w:t xml:space="preserve">ИНН: </w:t>
            </w:r>
            <w:r>
              <w:t xml:space="preserve">7707083893</w:t>
            </w:r>
            <w:r/>
            <w:r/>
          </w:p>
          <w:p>
            <w:pPr>
              <w:pStyle w:val="618"/>
            </w:pPr>
            <w:r>
              <w:t xml:space="preserve">КПП: </w:t>
            </w:r>
            <w:r>
              <w:t xml:space="preserve">290102001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 </w:t>
            </w:r>
            <w:r>
              <w:t xml:space="preserve">10 %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</w:t>
            </w:r>
            <w:r>
              <w:t xml:space="preserve">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618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618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618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618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  <w:r/>
          </w:p>
          <w:p>
            <w:pPr>
              <w:pStyle w:val="618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618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618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618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  <w:r/>
          </w:p>
          <w:p>
            <w:pPr>
              <w:pStyle w:val="618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618"/>
            </w:pPr>
            <w:r>
              <w:t xml:space="preserve">порядок и срок заключения договора купли-продажи имущества;</w:t>
            </w:r>
            <w:r/>
            <w:r/>
          </w:p>
          <w:p>
            <w:pPr>
              <w:pStyle w:val="618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618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618"/>
            </w:pPr>
            <w:r>
              <w:t xml:space="preserve">а) наименование, ор</w:t>
            </w:r>
            <w:r>
              <w:t xml:space="preserve">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618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18"/>
            </w:pPr>
            <w:r>
              <w:t xml:space="preserve">в) номер контактного телефона, адрес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618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</w:t>
            </w:r>
            <w:r>
              <w:t xml:space="preserve">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18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18"/>
            </w:pPr>
            <w: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</w:t>
            </w:r>
            <w:r>
              <w:t xml:space="preserve">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18"/>
            </w:pPr>
            <w:r>
              <w:t xml:space="preserve">Заявитель вправе отозвать заявку на участие в торгах не позднее окончания срока представления заявок на участие в тор</w:t>
            </w:r>
            <w:r>
              <w:t xml:space="preserve">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18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618"/>
            </w:pPr>
            <w: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</w:t>
            </w:r>
            <w:r>
              <w:t xml:space="preserve">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/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позднее тридцат</w:t>
            </w:r>
            <w:r>
              <w:t xml:space="preserve">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18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</w:t>
            </w:r>
            <w:r>
              <w:t xml:space="preserve">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18"/>
            </w:pPr>
            <w: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</w:t>
            </w:r>
            <w:r>
              <w:t xml:space="preserve">т каждому заявителю, чья заявка зарегистрирована в журнале заявок на участие в торгах и не отозвана до окончания срока представления заявок на участи</w:t>
            </w:r>
            <w:r>
              <w:t xml:space="preserve">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18"/>
            </w:pPr>
            <w:r>
              <w:t xml:space="preserve">К участию в торгах допускаются заявители, представившие заявки на участие в торгах и при</w:t>
            </w:r>
            <w:r>
              <w:t xml:space="preserve">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18"/>
            </w:pPr>
            <w:r>
              <w:t xml:space="preserve">Решение об отказе в допуске заявите</w:t>
            </w:r>
            <w:r>
              <w:t xml:space="preserve">ля к участию в торгах принимается в случае, если:</w:t>
            </w:r>
            <w:r/>
          </w:p>
          <w:p>
            <w:pPr>
              <w:pStyle w:val="618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18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618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торгах могут принимать участие только лица, признанные участниками </w:t>
            </w:r>
            <w:r>
              <w:t xml:space="preserve">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18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времени их поступления, а также времени, о</w:t>
            </w:r>
            <w:r>
              <w:t xml:space="preserve">ставшегося до истечения срока представления таких предложений. </w:t>
            </w:r>
            <w:r/>
          </w:p>
          <w:p>
            <w:pPr>
              <w:pStyle w:val="618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18"/>
            </w:pPr>
            <w:r>
              <w:t xml:space="preserve">Если в течение одного часа с момента начала представления </w:t>
            </w:r>
            <w:r>
              <w:t xml:space="preserve">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18"/>
            </w:pPr>
            <w:r>
              <w:t xml:space="preserve">Если в течение тридцати минут после представления последнего предлож</w:t>
            </w:r>
            <w:r>
              <w:t xml:space="preserve">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618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</w:t>
            </w:r>
            <w:r>
              <w:t xml:space="preserve">зе в приеме его предложения с указанием причин отказа в случае, если:</w:t>
            </w:r>
            <w:r/>
          </w:p>
          <w:p>
            <w:pPr>
              <w:pStyle w:val="618"/>
            </w:pPr>
            <w: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618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18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618"/>
            </w:pPr>
            <w:r>
              <w:t xml:space="preserve">Выигравшим аук</w:t>
            </w:r>
            <w:r>
              <w:t xml:space="preserve">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 средств с</w:t>
            </w:r>
            <w:r>
              <w:t xml:space="preserve">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</w:t>
            </w:r>
            <w:r>
              <w:t xml:space="preserve">площадки протокола.</w:t>
            </w:r>
            <w:r/>
          </w:p>
          <w:p>
            <w:pPr>
              <w:pStyle w:val="618"/>
            </w:pPr>
            <w: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618"/>
            </w:pPr>
            <w:r>
              <w:t xml:space="preserve">Не </w:t>
            </w:r>
            <w:r>
              <w:t xml:space="preserve">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8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18"/>
            </w:pPr>
            <w:r>
              <w:t xml:space="preserve">Оператором электронной </w:t>
            </w:r>
            <w:r>
              <w:t xml:space="preserve">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18"/>
            </w:pPr>
            <w:r>
              <w:t xml:space="preserve">окончания срока представления заявок на участие в торгах при отсутствии </w:t>
            </w:r>
            <w:r>
              <w:t xml:space="preserve">заявок на участие в торгах;</w:t>
            </w:r>
            <w:r/>
          </w:p>
          <w:p>
            <w:pPr>
              <w:pStyle w:val="618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618"/>
            </w:pPr>
            <w:r>
              <w:t xml:space="preserve">Организатор торгов рассматрива</w:t>
            </w:r>
            <w:r>
              <w:t xml:space="preserve">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18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</w:t>
            </w:r>
            <w:r>
              <w:t xml:space="preserve">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8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18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618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618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618"/>
            </w:pPr>
            <w:r>
              <w:t xml:space="preserve">Получатель:</w:t>
            </w:r>
            <w:r>
              <w:t xml:space="preserve">МИХЕЕВА ТАТЬЯНА БОРИСОВНА</w:t>
            </w:r>
            <w:r/>
            <w:r/>
          </w:p>
          <w:p>
            <w:pPr>
              <w:pStyle w:val="618"/>
            </w:pPr>
            <w:r>
              <w:t xml:space="preserve">Номер счёта: </w:t>
            </w:r>
            <w:r>
              <w:t xml:space="preserve">40817810804002398419</w:t>
            </w:r>
            <w:r/>
            <w:r/>
          </w:p>
          <w:p>
            <w:pPr>
              <w:pStyle w:val="618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  <w:r/>
          </w:p>
          <w:p>
            <w:pPr>
              <w:pStyle w:val="618"/>
            </w:pPr>
            <w:r>
              <w:t xml:space="preserve">БИК: 041117601</w:t>
            </w:r>
            <w:r/>
            <w:r/>
          </w:p>
          <w:p>
            <w:pPr>
              <w:pStyle w:val="618"/>
            </w:pPr>
            <w:r>
              <w:t xml:space="preserve">Корр. счёт: 30101810100000000601</w:t>
            </w:r>
            <w:r/>
            <w:r/>
          </w:p>
          <w:p>
            <w:pPr>
              <w:pStyle w:val="618"/>
            </w:pPr>
            <w:r>
              <w:t xml:space="preserve">ИНН: </w:t>
            </w:r>
            <w:r>
              <w:t xml:space="preserve">7707083893</w:t>
            </w:r>
            <w:r/>
            <w:r/>
          </w:p>
          <w:p>
            <w:pPr>
              <w:pStyle w:val="618"/>
            </w:pPr>
            <w:r>
              <w:t xml:space="preserve">КПП: </w:t>
            </w:r>
            <w:r>
              <w:t xml:space="preserve">290102001</w:t>
            </w:r>
            <w:r/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18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618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618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618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618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624"/>
                <w:color w:val="000000"/>
                <w:u w:val="none"/>
              </w:rPr>
              <w:t xml:space="preserve">законодательством</w:t>
            </w:r>
            <w:r>
              <w:rPr>
                <w:rStyle w:val="624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18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618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8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618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8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618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8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8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8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8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8"/>
            </w:pPr>
            <w:r/>
          </w:p>
        </w:tc>
      </w:tr>
    </w:tbl>
    <w:p>
      <w:pPr>
        <w:pStyle w:val="618"/>
      </w:pPr>
      <w:r/>
      <w:r/>
    </w:p>
    <w:p>
      <w:pPr>
        <w:pStyle w:val="618"/>
        <w:jc w:val="both"/>
      </w:pPr>
      <w:r/>
      <w:r/>
    </w:p>
    <w:p>
      <w:pPr>
        <w:pStyle w:val="618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5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Михеевой Татьяны Борисовны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8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8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9">
    <w:name w:val="Основной шрифт абзаца"/>
    <w:next w:val="619"/>
    <w:link w:val="618"/>
    <w:uiPriority w:val="1"/>
    <w:semiHidden/>
    <w:unhideWhenUsed/>
  </w:style>
  <w:style w:type="table" w:styleId="620">
    <w:name w:val="Обычная таблица"/>
    <w:next w:val="620"/>
    <w:link w:val="618"/>
    <w:uiPriority w:val="99"/>
    <w:semiHidden/>
    <w:unhideWhenUsed/>
    <w:tblPr/>
  </w:style>
  <w:style w:type="numbering" w:styleId="621">
    <w:name w:val="Нет списка"/>
    <w:next w:val="621"/>
    <w:link w:val="618"/>
    <w:uiPriority w:val="99"/>
    <w:semiHidden/>
    <w:unhideWhenUsed/>
  </w:style>
  <w:style w:type="paragraph" w:styleId="622">
    <w:name w:val="Обычный1"/>
    <w:next w:val="622"/>
    <w:link w:val="618"/>
    <w:rPr>
      <w:rFonts w:ascii="Times New Roman" w:hAnsi="Times New Roman" w:eastAsia="Times New Roman"/>
      <w:lang w:val="ru-RU" w:eastAsia="ru-RU" w:bidi="ar-SA"/>
    </w:rPr>
  </w:style>
  <w:style w:type="table" w:styleId="623">
    <w:name w:val="Сетка таблицы"/>
    <w:basedOn w:val="620"/>
    <w:next w:val="623"/>
    <w:link w:val="618"/>
    <w:uiPriority w:val="59"/>
    <w:pPr>
      <w:spacing w:after="0" w:line="240" w:lineRule="auto"/>
    </w:pPr>
    <w:tblPr/>
  </w:style>
  <w:style w:type="character" w:styleId="624">
    <w:name w:val="Гиперссылка"/>
    <w:next w:val="624"/>
    <w:link w:val="618"/>
    <w:uiPriority w:val="99"/>
    <w:unhideWhenUsed/>
    <w:rPr>
      <w:color w:val="0000ff"/>
      <w:u w:val="single"/>
    </w:rPr>
  </w:style>
  <w:style w:type="paragraph" w:styleId="625">
    <w:name w:val="ConsPlusNonformat"/>
    <w:next w:val="625"/>
    <w:link w:val="618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6">
    <w:name w:val="Обычный (веб)"/>
    <w:basedOn w:val="618"/>
    <w:next w:val="626"/>
    <w:link w:val="618"/>
    <w:pPr>
      <w:spacing w:before="240" w:after="240"/>
      <w:widowControl/>
    </w:pPr>
    <w:rPr>
      <w:sz w:val="24"/>
      <w:szCs w:val="24"/>
    </w:rPr>
  </w:style>
  <w:style w:type="character" w:styleId="1990" w:default="1">
    <w:name w:val="Default Paragraph Font"/>
    <w:uiPriority w:val="1"/>
    <w:semiHidden/>
    <w:unhideWhenUsed/>
  </w:style>
  <w:style w:type="numbering" w:styleId="1991" w:default="1">
    <w:name w:val="No List"/>
    <w:uiPriority w:val="99"/>
    <w:semiHidden/>
    <w:unhideWhenUsed/>
  </w:style>
  <w:style w:type="table" w:styleId="199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3</cp:revision>
  <dcterms:created xsi:type="dcterms:W3CDTF">2026-04-07T15:20:00Z</dcterms:created>
  <dcterms:modified xsi:type="dcterms:W3CDTF">2026-04-07T16:02:14Z</dcterms:modified>
  <cp:version>1048576</cp:version>
</cp:coreProperties>
</file>