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«__»________2026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98yqfo1mj0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Чиркова Константина Владимировича Немыкин Павел Владимирович, действующий на основании Решения Арбитражного суда Новгородской области от 18.03.2025 по делу №А44-546/2025,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проводимых «__» _____________2026 г. на электронной площадке ООО «АукционПро», по продаже имущества Чиркова Константина Владимировича и на основании Протокола по результатам торгов по продаже имущества Должника от «__»__________ 2026 г., Продавец обязуется передать, а Покупатель обязуется принять следующее имущество (далее – Имущество), принадлежащее на праве собственности Чиркову Константину Владимировичу (далее – Имущество), определенное, как лот №: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bookmarkStart w:colFirst="0" w:colLast="0" w:name="_heading=h.3fn38ztwtns0" w:id="1"/>
      <w:bookmarkEnd w:id="1"/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Чиркова Константина Владимировича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получатель - Чирков Константин Владимирович ИНН 741512497215, 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40817810850220157788.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П.В. Немыкин/</w:t>
            </w:r>
          </w:p>
          <w:p w:rsidR="00000000" w:rsidDel="00000000" w:rsidP="00000000" w:rsidRDefault="00000000" w:rsidRPr="00000000" w14:paraId="0000003A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ebfwebKo1un5nMCmaVdCATltg==">CgMxLjAyDmgubTk4eXFmbzFtajB2Mg5oLjNmbjM4enR3dG5zMDgAciExUjM0MmNjYlVqaEJkRzZWNFQxRE8xMFBvTXRtbGktaFY=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