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Клетухина Владимира Михайловича Соловьева Ольга Валентиновна, действующий на основании Решения Арбитражного суда Алтайского края от 14.07.2023 по делу №А03-12831/2022 и определения Арбитражного суда Алтайского края от 22.05.2024,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w:t>
      </w:r>
      <w:r w:rsidDel="00000000" w:rsidR="00000000" w:rsidRPr="00000000">
        <w:rPr>
          <w:sz w:val="22"/>
          <w:szCs w:val="22"/>
          <w:rtl w:val="0"/>
        </w:rPr>
        <w:t xml:space="preserve">ООО «АукционПро» (https://au-pro.ru/)</w:t>
      </w:r>
      <w:r w:rsidDel="00000000" w:rsidR="00000000" w:rsidRPr="00000000">
        <w:rPr>
          <w:color w:val="000000"/>
          <w:sz w:val="22"/>
          <w:szCs w:val="22"/>
          <w:rtl w:val="0"/>
        </w:rPr>
        <w:t xml:space="preserve">, по продаже имущества Клетухина Владимира Михайловича,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Клетухину Владимиру Михайловичу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ind w:firstLine="900"/>
        <w:jc w:val="both"/>
        <w:rPr>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rsidR="00000000" w:rsidDel="00000000" w:rsidP="00000000" w:rsidRDefault="00000000" w:rsidRPr="00000000" w14:paraId="0000001B">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C">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D">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0">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1">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C">
            <w:pPr>
              <w:rPr>
                <w:b w:val="1"/>
              </w:rPr>
            </w:pPr>
            <w:r w:rsidDel="00000000" w:rsidR="00000000" w:rsidRPr="00000000">
              <w:rPr>
                <w:b w:val="1"/>
                <w:sz w:val="22"/>
                <w:szCs w:val="22"/>
                <w:rtl w:val="0"/>
              </w:rPr>
              <w:t xml:space="preserve">Продавец:</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sz w:val="22"/>
                <w:szCs w:val="22"/>
                <w:rtl w:val="0"/>
              </w:rPr>
              <w:t xml:space="preserve">Финансовый управляющий</w:t>
            </w:r>
            <w:r w:rsidDel="00000000" w:rsidR="00000000" w:rsidRPr="00000000">
              <w:rPr>
                <w:rtl w:val="0"/>
              </w:rPr>
            </w:r>
          </w:p>
          <w:p w:rsidR="00000000" w:rsidDel="00000000" w:rsidP="00000000" w:rsidRDefault="00000000" w:rsidRPr="00000000" w14:paraId="0000002F">
            <w:pPr>
              <w:tabs>
                <w:tab w:val="left" w:leader="none" w:pos="1418"/>
              </w:tabs>
              <w:ind w:right="-7"/>
              <w:rPr>
                <w:sz w:val="22"/>
                <w:szCs w:val="22"/>
              </w:rPr>
            </w:pPr>
            <w:r w:rsidDel="00000000" w:rsidR="00000000" w:rsidRPr="00000000">
              <w:rPr>
                <w:color w:val="000000"/>
                <w:sz w:val="22"/>
                <w:szCs w:val="22"/>
                <w:rtl w:val="0"/>
              </w:rPr>
              <w:t xml:space="preserve">Клетухина Владимира Михайловича</w:t>
            </w:r>
            <w:r w:rsidDel="00000000" w:rsidR="00000000" w:rsidRPr="00000000">
              <w:rPr>
                <w:sz w:val="22"/>
                <w:szCs w:val="22"/>
                <w:rtl w:val="0"/>
              </w:rPr>
              <w:t xml:space="preserve"> </w:t>
            </w:r>
          </w:p>
          <w:p w:rsidR="00000000" w:rsidDel="00000000" w:rsidP="00000000" w:rsidRDefault="00000000" w:rsidRPr="00000000" w14:paraId="00000030">
            <w:pPr>
              <w:tabs>
                <w:tab w:val="left" w:leader="none" w:pos="1418"/>
              </w:tabs>
              <w:ind w:right="-7"/>
              <w:rPr/>
            </w:pPr>
            <w:r w:rsidDel="00000000" w:rsidR="00000000" w:rsidRPr="00000000">
              <w:rPr>
                <w:sz w:val="22"/>
                <w:szCs w:val="22"/>
                <w:rtl w:val="0"/>
              </w:rPr>
              <w:t xml:space="preserve">Соловьева Ольга Валентиновна </w:t>
            </w:r>
            <w:r w:rsidDel="00000000" w:rsidR="00000000" w:rsidRPr="00000000">
              <w:rPr>
                <w:rtl w:val="0"/>
              </w:rPr>
            </w:r>
          </w:p>
          <w:p w:rsidR="00000000" w:rsidDel="00000000" w:rsidP="00000000" w:rsidRDefault="00000000" w:rsidRPr="00000000" w14:paraId="00000031">
            <w:pPr>
              <w:rPr>
                <w:color w:val="000000"/>
                <w:sz w:val="22"/>
                <w:szCs w:val="22"/>
              </w:rPr>
            </w:pPr>
            <w:bookmarkStart w:colFirst="0" w:colLast="0" w:name="_heading=h.hooi7ht5bo3q" w:id="0"/>
            <w:bookmarkEnd w:id="0"/>
            <w:r w:rsidDel="00000000" w:rsidR="00000000" w:rsidRPr="00000000">
              <w:rPr>
                <w:sz w:val="22"/>
                <w:szCs w:val="22"/>
                <w:rtl w:val="0"/>
              </w:rPr>
              <w:t xml:space="preserve">получатель - </w:t>
            </w:r>
            <w:r w:rsidDel="00000000" w:rsidR="00000000" w:rsidRPr="00000000">
              <w:rPr>
                <w:color w:val="000000"/>
                <w:sz w:val="22"/>
                <w:szCs w:val="22"/>
                <w:rtl w:val="0"/>
              </w:rPr>
              <w:t xml:space="preserve">Клетухин Владимир Михайлович ИНН 220416384940, </w:t>
            </w:r>
          </w:p>
          <w:p w:rsidR="00000000" w:rsidDel="00000000" w:rsidP="00000000" w:rsidRDefault="00000000" w:rsidRPr="00000000" w14:paraId="00000032">
            <w:pPr>
              <w:rPr>
                <w:color w:val="000000"/>
                <w:sz w:val="22"/>
                <w:szCs w:val="22"/>
              </w:rPr>
            </w:pPr>
            <w:r w:rsidDel="00000000" w:rsidR="00000000" w:rsidRPr="00000000">
              <w:rPr>
                <w:color w:val="000000"/>
                <w:sz w:val="22"/>
                <w:szCs w:val="22"/>
                <w:rtl w:val="0"/>
              </w:rPr>
              <w:t xml:space="preserve">р/с 40817810150201391975.</w:t>
            </w:r>
          </w:p>
          <w:p w:rsidR="00000000" w:rsidDel="00000000" w:rsidP="00000000" w:rsidRDefault="00000000" w:rsidRPr="00000000" w14:paraId="00000033">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sz w:val="22"/>
                <w:szCs w:val="22"/>
                <w:rtl w:val="0"/>
              </w:rPr>
              <w:t xml:space="preserve">________________ / О.В. Соловьева/</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A">
            <w:pPr>
              <w:rPr>
                <w:b w:val="1"/>
              </w:rPr>
            </w:pPr>
            <w:r w:rsidDel="00000000" w:rsidR="00000000" w:rsidRPr="00000000">
              <w:rPr>
                <w:b w:val="1"/>
                <w:sz w:val="22"/>
                <w:szCs w:val="22"/>
                <w:rtl w:val="0"/>
              </w:rPr>
              <w:t xml:space="preserve">Покупатель:</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2">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C70C4"/>
    <w:pPr>
      <w:suppressAutoHyphens w:val="1"/>
    </w:pPr>
    <w:rPr>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vTC4SJbjwffc0N7cY9F8N8gFQ==">CgMxLjAyDmguaG9vaTdodDVibzNxOAByITE1Z21ibzRKVl8xb1NqeHo0NUxVQW1kSW5MbENxX0tnXw==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