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Республики Татарстан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Мустафина Ильнура Габдуллахатовича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Газизовой Натальи Андреевны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2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Мустафина Ильнура Габдуллахатовича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62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17.09.1</w:t>
      </w:r>
      <w:r>
        <w:rPr>
          <w:sz w:val="24"/>
          <w:szCs w:val="24"/>
        </w:rPr>
        <w:t xml:space="preserve">964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д. Юлсубино Рыбно-Слободского района Татарской АССР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039-609-728 91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163401047027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422650, Республика Татарстан, пгт Рыбная Слобода, ул Карьерная, д 1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X7LJA13BAC1000255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Марка: МОСКВИЧ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Коммерческое наименование: Москвич 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Категория ТС по Конвенции о дорожном движении: категория В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Категория по ТР ТС 018/2011: М1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Номер двигателя: HFC4GB24DP3346683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Номер шасси (рамы): Отсутствует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  <w:t xml:space="preserve">Номер кузова (кабины, прицепа): X7LJA13BAC1000255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Цвет кузова: белый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  <w:t xml:space="preserve">Год изготовления: 2023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  <w:highlight w:val="none"/>
                      <w:lang w:val="ru-RU"/>
                    </w:rPr>
                  </w:pPr>
                  <w:r>
                    <w:rPr>
                      <w:sz w:val="20"/>
                      <w:szCs w:val="20"/>
                      <w:highlight w:val="none"/>
                      <w:lang w:val="ru-RU"/>
                    </w:rPr>
                    <w:t xml:space="preserve">Государственный регистрационный знак: </w:t>
                  </w:r>
                  <w:r>
                    <w:rPr>
                      <w:sz w:val="20"/>
                      <w:szCs w:val="20"/>
                      <w:highlight w:val="none"/>
                      <w:lang w:val="ru-RU"/>
                    </w:rPr>
                  </w:r>
                  <w:r>
                    <w:rPr>
                      <w:sz w:val="20"/>
                      <w:szCs w:val="20"/>
                      <w:highlight w:val="none"/>
                      <w:lang w:val="ru-RU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highlight w:val="none"/>
                      <w:lang w:val="ru-RU"/>
                    </w:rPr>
                    <w:t xml:space="preserve">С089НВ176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955 054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</w:tr>
          </w:tbl>
          <w:p>
            <w:pPr>
              <w:pStyle w:val="618"/>
            </w:pPr>
            <w:r>
              <w:t xml:space="preserve">Ознакомление с имуществом производится по адресу: </w:t>
            </w:r>
            <w:r>
              <w:rPr>
                <w:sz w:val="24"/>
                <w:szCs w:val="24"/>
              </w:rPr>
              <w:t xml:space="preserve"> 422650, Республика Татарстан, пгт Рыбная Слобода, ул Карьерная, д 1</w:t>
            </w:r>
            <w:r/>
            <w:r>
              <w:t xml:space="preserve">, с момента публикации сообщения о продаже имущества и до окончания приема заявок по предварительной зап</w:t>
            </w:r>
            <w:r>
              <w:t xml:space="preserve">иси по телефону:</w:t>
            </w:r>
            <w:r>
              <w:t xml:space="preserve"> </w:t>
            </w:r>
            <w:r/>
            <w:r>
              <w:t xml:space="preserve">89600091050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  <w:r/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Финансовый управляющий </w:t>
            </w:r>
            <w:r>
              <w:t xml:space="preserve">Мустафина Ильнура Габдуллахатовича</w:t>
            </w:r>
            <w:r>
              <w:t xml:space="preserve"> </w:t>
            </w:r>
            <w:r>
              <w:t xml:space="preserve">Газизова Наталья Андреевна</w:t>
            </w:r>
            <w:r>
              <w:t xml:space="preserve">, </w:t>
            </w:r>
            <w:r>
              <w:t xml:space="preserve">действующий на основании решения Арбитражного суда Республики Татарстан от 26.06.2025 г. (резолютивная часть объявлена 10.06.2025 г.) по делу № А65-14824/2025 Л.К. Нургатина</w:t>
            </w:r>
            <w:r/>
          </w:p>
          <w:p>
            <w:pPr>
              <w:pStyle w:val="618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618"/>
            </w:pPr>
            <w:r>
              <w:t xml:space="preserve">- опубликовывает и размещает сообщение о продаже имущества и соо</w:t>
            </w:r>
            <w:r>
              <w:t xml:space="preserve">бщение о результатах проведения торгов;</w:t>
            </w:r>
            <w:r/>
          </w:p>
          <w:p>
            <w:pPr>
              <w:pStyle w:val="618"/>
            </w:pPr>
            <w:r>
              <w:t xml:space="preserve">- определяет участников торгов;</w:t>
            </w:r>
            <w:r/>
          </w:p>
          <w:p>
            <w:pPr>
              <w:pStyle w:val="618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618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</w:t>
            </w:r>
            <w:r>
              <w:t xml:space="preserve">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Сведения об организаторе торгов:</w:t>
            </w:r>
            <w:r/>
          </w:p>
          <w:p>
            <w:pPr>
              <w:pStyle w:val="618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обл Архангельская, г Архангельск, ул Воскресенская, д 59, этаж 2</w:t>
            </w:r>
            <w:r/>
          </w:p>
          <w:p>
            <w:pPr>
              <w:pStyle w:val="618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gazizova.natalya@internet.ru</w:t>
            </w:r>
            <w:r/>
          </w:p>
          <w:p>
            <w:pPr>
              <w:pStyle w:val="618"/>
            </w:pPr>
            <w:r>
              <w:t xml:space="preserve">- контактный номер: </w:t>
            </w:r>
            <w:r/>
            <w:r>
              <w:t xml:space="preserve">89600091050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Торги проводятся в электронной форме на эле</w:t>
            </w:r>
            <w:r>
              <w:t xml:space="preserve">ктронной площадке ,</w:t>
            </w:r>
            <w:r>
              <w:t xml:space="preserve">АукционPRO , размещенной в сети Интернет по адресу: au-pro.ru</w:t>
            </w: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/>
            <w:r>
              <w:t xml:space="preserve">Лот № 1: 10%</w:t>
            </w:r>
            <w:r/>
            <w:r/>
          </w:p>
          <w:p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618"/>
            </w:pPr>
            <w:r>
              <w:t xml:space="preserve">Валюта получаемого перевода: Российский рубль (RUB)</w:t>
            </w:r>
            <w:r/>
          </w:p>
          <w:p>
            <w:pPr>
              <w:pStyle w:val="618"/>
            </w:pPr>
            <w:r>
              <w:t xml:space="preserve">Получатель: Мустафин Ильнур Габдуллахатович</w:t>
            </w:r>
            <w:r/>
          </w:p>
          <w:p>
            <w:pPr>
              <w:pStyle w:val="618"/>
            </w:pPr>
            <w:r>
              <w:t xml:space="preserve">Номер счёта: 40817810304002377684</w:t>
            </w:r>
            <w:r/>
          </w:p>
          <w:p>
            <w:pPr>
              <w:pStyle w:val="618"/>
            </w:pPr>
            <w:r>
              <w:t xml:space="preserve">Банк получателя: АРХАНГЕЛЬСКОЕ ОТДЕЛЕНИЕ №8637 ПАО СБЕРБАНК Г. АРХАНГЕЛЬСК</w:t>
            </w:r>
            <w:r/>
          </w:p>
          <w:p>
            <w:pPr>
              <w:pStyle w:val="618"/>
            </w:pPr>
            <w:r>
              <w:t xml:space="preserve">БИК: 041117601</w:t>
            </w:r>
            <w:r/>
          </w:p>
          <w:p>
            <w:pPr>
              <w:pStyle w:val="618"/>
            </w:pPr>
            <w:r>
              <w:t xml:space="preserve">Корр. счёт: 30101810100000000601</w:t>
            </w:r>
            <w:r/>
          </w:p>
          <w:p>
            <w:pPr>
              <w:pStyle w:val="618"/>
            </w:pPr>
            <w:r>
              <w:t xml:space="preserve">ИНН: 7707083893</w:t>
            </w:r>
            <w:r/>
          </w:p>
          <w:p>
            <w:pPr>
              <w:pStyle w:val="618"/>
            </w:pPr>
            <w:r>
              <w:t xml:space="preserve">КПП: 290102001</w:t>
            </w: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 10%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</w:t>
            </w:r>
            <w:r>
              <w:t xml:space="preserve">оведения торгов</w:t>
            </w:r>
            <w:r>
              <w:rPr>
                <w:i/>
              </w:rPr>
              <w:t xml:space="preserve">.</w:t>
            </w:r>
            <w:r/>
            <w:r/>
          </w:p>
          <w:p>
            <w:pPr>
              <w:pStyle w:val="618"/>
            </w:pPr>
            <w:r>
              <w:t xml:space="preserve">Текст сообщения должен содержать следующие сведения:</w:t>
            </w:r>
            <w:r/>
            <w:r/>
          </w:p>
          <w:p>
            <w:pPr>
              <w:pStyle w:val="618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  <w:r/>
          </w:p>
          <w:p>
            <w:pPr>
              <w:pStyle w:val="618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  <w:r/>
          </w:p>
          <w:p>
            <w:pPr>
              <w:pStyle w:val="618"/>
            </w:pPr>
            <w: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  <w:r/>
            <w:r/>
          </w:p>
          <w:p>
            <w:pPr>
              <w:pStyle w:val="618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  <w:r/>
          </w:p>
          <w:p>
            <w:pPr>
              <w:pStyle w:val="618"/>
            </w:pPr>
            <w:r>
              <w:t xml:space="preserve">размер задатка, сроки и порядок внесения задатка, реквизиты счетов, на которые вносится задаток;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имущества;</w:t>
            </w:r>
            <w:r/>
            <w:r/>
          </w:p>
          <w:p>
            <w:pPr>
              <w:pStyle w:val="618"/>
            </w:pPr>
            <w:r>
              <w:t xml:space="preserve">величина повышения начальной цены продажи имущества ("шаг аукциона");</w:t>
            </w:r>
            <w:r/>
            <w:r/>
          </w:p>
          <w:p>
            <w:pPr>
              <w:pStyle w:val="618"/>
            </w:pPr>
            <w:r>
              <w:t xml:space="preserve">порядок и критерии выявления победителя торгов;</w:t>
            </w:r>
            <w:r/>
            <w:r/>
          </w:p>
          <w:p>
            <w:pPr>
              <w:pStyle w:val="618"/>
            </w:pPr>
            <w:r>
              <w:t xml:space="preserve">дата, время и место подведения результатов торгов;</w:t>
            </w:r>
            <w:r/>
            <w:r/>
          </w:p>
          <w:p>
            <w:pPr>
              <w:pStyle w:val="618"/>
            </w:pPr>
            <w:r>
              <w:t xml:space="preserve">порядок и срок заключения договора купли-продажи и</w:t>
            </w:r>
            <w:r>
              <w:t xml:space="preserve">мущества;</w:t>
            </w:r>
            <w:r/>
            <w:r/>
          </w:p>
          <w:p>
            <w:pPr>
              <w:pStyle w:val="618"/>
            </w:pPr>
            <w:r>
              <w:t xml:space="preserve">сроки платежей, реквизиты счетов, на которые вносятся платежи;</w:t>
            </w:r>
            <w:r/>
            <w:r/>
          </w:p>
          <w:p>
            <w:pPr>
              <w:pStyle w:val="618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 составляется в произвольной форме на ру</w:t>
            </w:r>
            <w:r>
              <w:t xml:space="preserve">сском языке и должна содержать следующие сведения:</w:t>
            </w:r>
            <w:r/>
          </w:p>
          <w:p>
            <w:pPr>
              <w:pStyle w:val="618"/>
            </w:pPr>
            <w: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618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618"/>
            </w:pPr>
            <w:r>
              <w:t xml:space="preserve">в) номер контактного телефона, адрес электронной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618"/>
            </w:pPr>
            <w:r>
              <w:t xml:space="preserve"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</w:t>
            </w:r>
            <w:r>
              <w:t xml:space="preserve">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618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</w:t>
            </w:r>
            <w:r>
              <w:t xml:space="preserve">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18"/>
            </w:pPr>
            <w:r>
              <w:t xml:space="preserve">Для участия в открытых торгах заявитель представляет оператору электронной площадк</w:t>
            </w:r>
            <w:r>
              <w:t xml:space="preserve">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</w:t>
            </w:r>
            <w: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618"/>
            </w:pPr>
            <w:r>
              <w:t xml:space="preserve">Заявитель вправе отозвать заявку на участие в т</w:t>
            </w:r>
            <w:r>
              <w:t xml:space="preserve">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18"/>
            </w:pPr>
            <w:r>
              <w:t xml:space="preserve">Заявитель вправе изменить заявку на участие в торгах не позднее окончания срока </w:t>
            </w:r>
            <w:r>
              <w:t xml:space="preserve">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pPr>
              <w:pStyle w:val="618"/>
            </w:pPr>
            <w:r>
              <w:t xml:space="preserve">В течение тридцати минут с момента представления заявки на участие в торгах такая заявка</w:t>
            </w:r>
            <w:r>
              <w:t xml:space="preserve"> с помощью программно-аппа</w:t>
            </w:r>
            <w: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представления заявок на участие в открытых торгах </w:t>
            </w:r>
            <w:r>
              <w:t xml:space="preserve">составляет 25 рабочих дней со дня опубликования и размещения сообщения о проведении торгов.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после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618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</w:t>
            </w:r>
            <w:r>
              <w:t xml:space="preserve">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618"/>
            </w:pPr>
            <w:r>
              <w:t xml:space="preserve">В течение пяти календарных дней со дня подписания и направления протокола </w:t>
            </w:r>
            <w:r>
              <w:t xml:space="preserve">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</w:t>
            </w:r>
            <w:r>
              <w:t xml:space="preserve">торгах и не отозвана до о</w:t>
            </w:r>
            <w:r>
              <w:t xml:space="preserve">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618"/>
            </w:pPr>
            <w:r>
              <w:t xml:space="preserve"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</w:t>
            </w:r>
            <w:r>
              <w:t xml:space="preserve">ах, признаются участниками торгов.</w:t>
            </w:r>
            <w:r/>
          </w:p>
          <w:p>
            <w:pPr>
              <w:pStyle w:val="618"/>
            </w:pPr>
            <w:r>
              <w:t xml:space="preserve">Решение об отказе в допуске заявителя к участию в торгах принимается в случае, если:</w:t>
            </w:r>
            <w:r/>
          </w:p>
          <w:p>
            <w:pPr>
              <w:pStyle w:val="618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618"/>
            </w:pPr>
            <w:r>
              <w:t xml:space="preserve">- представленные заявителем документы не соответствуют установленным</w:t>
            </w:r>
            <w:r>
              <w:t xml:space="preserve"> к ним требованиям или недостоверны;</w:t>
            </w:r>
            <w:r/>
          </w:p>
          <w:p>
            <w:pPr>
              <w:pStyle w:val="618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618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618"/>
            </w:pPr>
            <w:r>
              <w:t xml:space="preserve">Торги проводятся путем повышения начальной цены продажи имущества на величину, равную "шагу</w:t>
            </w:r>
            <w:r>
              <w:t xml:space="preserve"> аукциона".</w:t>
            </w:r>
            <w:r/>
          </w:p>
          <w:p>
            <w:pPr>
              <w:pStyle w:val="618"/>
            </w:pPr>
            <w: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</w:t>
            </w:r>
            <w:r>
              <w:t xml:space="preserve">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</w:t>
            </w:r>
            <w:r>
              <w:t xml:space="preserve"> предложений</w:t>
            </w:r>
            <w:r>
              <w:t xml:space="preserve">.</w:t>
            </w:r>
            <w:r/>
          </w:p>
          <w:p>
            <w:pPr>
              <w:pStyle w:val="618"/>
            </w:pPr>
            <w: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618"/>
            </w:pPr>
            <w:r>
              <w:t xml:space="preserve">Во время проведения торгов с</w:t>
            </w:r>
            <w:r>
              <w:t xml:space="preserve">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618"/>
            </w:pPr>
            <w:r>
              <w:t xml:space="preserve">а) предложение о цене представле</w:t>
            </w:r>
            <w:r>
              <w:t xml:space="preserve">но по истечении установленного срока представления предложений о цене;</w:t>
            </w:r>
            <w:r/>
          </w:p>
          <w:p>
            <w:pPr>
              <w:pStyle w:val="618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618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</w:t>
            </w:r>
            <w:r>
              <w:t xml:space="preserve">оргов.</w:t>
            </w:r>
            <w:r/>
          </w:p>
          <w:p>
            <w:pPr>
              <w:pStyle w:val="618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с момента завершения торгов опе</w:t>
            </w:r>
            <w:r>
              <w:t xml:space="preserve">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</w:t>
            </w:r>
            <w:r>
              <w:t xml:space="preserve">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618"/>
            </w:pPr>
            <w:r>
              <w:t xml:space="preserve">Протокол о результатах проведения торгов ра</w:t>
            </w:r>
            <w:r>
              <w:t xml:space="preserve">змещается оператором электронной площадки на электронной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размещения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</w:t>
            </w:r>
            <w:r>
              <w:t xml:space="preserve">ет решение о признании торгов несостоявшимися.</w:t>
            </w:r>
            <w:r/>
          </w:p>
          <w:p>
            <w:pPr>
              <w:pStyle w:val="618"/>
            </w:pPr>
            <w: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618"/>
            </w:pPr>
            <w: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618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</w:t>
            </w:r>
            <w:r>
              <w:t xml:space="preserve">ен ни один заявитель или допущен только один участник.</w:t>
            </w:r>
            <w:r/>
          </w:p>
          <w:p>
            <w:pPr>
              <w:pStyle w:val="618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618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618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618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  <w:r/>
          </w:p>
          <w:p>
            <w:pPr>
              <w:pStyle w:val="618"/>
            </w:pPr>
            <w:r>
              <w:t xml:space="preserve">Валюта получаемого перевода: Российский рубль (RUB)</w:t>
            </w:r>
            <w:r/>
            <w:r/>
          </w:p>
          <w:p>
            <w:pPr>
              <w:pStyle w:val="618"/>
            </w:pPr>
            <w:r>
              <w:t xml:space="preserve">Получатель: Мустафин Ильнур Габдуллахатович</w:t>
            </w:r>
            <w:r/>
            <w:r/>
          </w:p>
          <w:p>
            <w:pPr>
              <w:pStyle w:val="618"/>
            </w:pPr>
            <w:r>
              <w:t xml:space="preserve">Номер счёта: 40817810304002377684</w:t>
            </w:r>
            <w:r/>
            <w:r/>
          </w:p>
          <w:p>
            <w:pPr>
              <w:pStyle w:val="618"/>
            </w:pPr>
            <w:r>
              <w:t xml:space="preserve">Банк получателя: АРХАНГЕЛЬСКОЕ ОТДЕЛЕНИЕ №8637 ПАО СБЕРБАНК Г. АРХАНГЕЛЬСК</w:t>
            </w:r>
            <w:r/>
            <w:r/>
          </w:p>
          <w:p>
            <w:pPr>
              <w:pStyle w:val="618"/>
            </w:pPr>
            <w:r>
              <w:t xml:space="preserve">БИК: 041117601</w:t>
            </w:r>
            <w:r/>
            <w:r/>
          </w:p>
          <w:p>
            <w:pPr>
              <w:pStyle w:val="618"/>
            </w:pPr>
            <w:r>
              <w:t xml:space="preserve">Корр. счёт: 30101810100000000601</w:t>
            </w:r>
            <w:r/>
            <w:r/>
          </w:p>
          <w:p>
            <w:pPr>
              <w:pStyle w:val="618"/>
            </w:pPr>
            <w:r>
              <w:t xml:space="preserve">ИНН: 7707083893</w:t>
            </w:r>
            <w:r/>
            <w:r/>
          </w:p>
          <w:p>
            <w:pPr>
              <w:pStyle w:val="618"/>
            </w:pPr>
            <w:r>
              <w:t xml:space="preserve">КПП: 290102001</w:t>
            </w:r>
            <w:r/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pStyle w:val="618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618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618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618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618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624"/>
                <w:color w:val="000000"/>
                <w:u w:val="none"/>
              </w:rPr>
              <w:t xml:space="preserve">законодательством</w:t>
            </w:r>
            <w:r>
              <w:rPr>
                <w:rStyle w:val="624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618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618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  <w:r/>
          </w:p>
          <w:p>
            <w:pPr>
              <w:pStyle w:val="618"/>
            </w:pPr>
            <w:r>
              <w:t xml:space="preserve">Величина снижения начальной цены продажи имущества должника - 10 %.</w:t>
            </w:r>
            <w:r/>
            <w:r/>
          </w:p>
          <w:p>
            <w:pPr>
              <w:pStyle w:val="618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  <w:r/>
          </w:p>
          <w:p>
            <w:pPr>
              <w:pStyle w:val="618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</w:t>
            </w:r>
            <w:r>
              <w:t xml:space="preserve">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</w:t>
            </w:r>
            <w:r>
              <w:t xml:space="preserve">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</w:t>
            </w:r>
            <w:r>
              <w:t xml:space="preserve">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</w:t>
            </w:r>
            <w:r>
              <w:t xml:space="preserve">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  <w:r/>
          </w:p>
          <w:p>
            <w:pPr>
              <w:pStyle w:val="618"/>
            </w:pPr>
            <w:r>
              <w:t xml:space="preserve">При участии в торгах посредством публичного пред</w:t>
            </w:r>
            <w:r>
              <w:t xml:space="preserve">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  <w:r/>
          </w:p>
          <w:p>
            <w:pPr>
              <w:pStyle w:val="618"/>
            </w:pPr>
            <w:r>
              <w:t xml:space="preserve">Определение участников торгов, проводимых в форме публичного предложения осуществляется в следующем порядке:</w:t>
            </w:r>
            <w:r/>
            <w:r/>
          </w:p>
          <w:p>
            <w:pPr>
              <w:pStyle w:val="618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</w:t>
            </w:r>
            <w:r>
              <w:t xml:space="preserve">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</w:t>
            </w:r>
            <w:r>
              <w:t xml:space="preserve">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По результатам проведения торгов оператором электронной площадки </w:t>
            </w:r>
            <w:r>
              <w:t xml:space="preserve">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любого периода проведения торгов или по завершени</w:t>
            </w:r>
            <w:r>
              <w:t xml:space="preserve">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  <w:r/>
          </w:p>
          <w:p>
            <w:pPr>
              <w:pStyle w:val="618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завершении </w:t>
            </w:r>
            <w:r>
              <w:t xml:space="preserve">торгов вследствие оставления конкурсным кредитором предмета залога за собой, при отсутствии заявок на участие в торгах.</w:t>
            </w:r>
            <w:r/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  <w:r/>
          </w:p>
          <w:p>
            <w:pPr>
              <w:pStyle w:val="618"/>
            </w:pPr>
            <w:r>
              <w:t xml:space="preserve"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  <w:r/>
            <w:r/>
            <w:r/>
          </w:p>
        </w:tc>
      </w:tr>
    </w:tbl>
    <w:p>
      <w:pPr>
        <w:pStyle w:val="618"/>
      </w:pPr>
      <w:r/>
      <w:r/>
    </w:p>
    <w:p>
      <w:pPr>
        <w:pStyle w:val="618"/>
        <w:jc w:val="both"/>
      </w:pPr>
      <w:r/>
      <w:r/>
    </w:p>
    <w:p>
      <w:pPr>
        <w:pStyle w:val="618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625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Мустафина Ильнура Габдуллахатовича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618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18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next w:val="618"/>
    <w:link w:val="618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619">
    <w:name w:val="Основной шрифт абзаца"/>
    <w:next w:val="619"/>
    <w:link w:val="618"/>
    <w:uiPriority w:val="1"/>
    <w:semiHidden/>
    <w:unhideWhenUsed/>
  </w:style>
  <w:style w:type="table" w:styleId="620">
    <w:name w:val="Обычная таблица"/>
    <w:next w:val="620"/>
    <w:link w:val="618"/>
    <w:uiPriority w:val="99"/>
    <w:semiHidden/>
    <w:unhideWhenUsed/>
    <w:tblPr/>
  </w:style>
  <w:style w:type="numbering" w:styleId="621">
    <w:name w:val="Нет списка"/>
    <w:next w:val="621"/>
    <w:link w:val="618"/>
    <w:uiPriority w:val="99"/>
    <w:semiHidden/>
    <w:unhideWhenUsed/>
  </w:style>
  <w:style w:type="paragraph" w:styleId="622">
    <w:name w:val="Обычный1"/>
    <w:next w:val="622"/>
    <w:link w:val="618"/>
    <w:rPr>
      <w:rFonts w:ascii="Times New Roman" w:hAnsi="Times New Roman" w:eastAsia="Times New Roman"/>
      <w:lang w:val="ru-RU" w:eastAsia="ru-RU" w:bidi="ar-SA"/>
    </w:rPr>
  </w:style>
  <w:style w:type="table" w:styleId="623">
    <w:name w:val="Сетка таблицы"/>
    <w:basedOn w:val="620"/>
    <w:next w:val="623"/>
    <w:link w:val="618"/>
    <w:uiPriority w:val="59"/>
    <w:pPr>
      <w:spacing w:after="0" w:line="240" w:lineRule="auto"/>
    </w:pPr>
    <w:tblPr/>
  </w:style>
  <w:style w:type="character" w:styleId="624">
    <w:name w:val="Гиперссылка"/>
    <w:next w:val="624"/>
    <w:link w:val="618"/>
    <w:uiPriority w:val="99"/>
    <w:unhideWhenUsed/>
    <w:rPr>
      <w:color w:val="0000ff"/>
      <w:u w:val="single"/>
    </w:rPr>
  </w:style>
  <w:style w:type="paragraph" w:styleId="625">
    <w:name w:val="ConsPlusNonformat"/>
    <w:next w:val="625"/>
    <w:link w:val="618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626">
    <w:name w:val="Обычный (веб)"/>
    <w:basedOn w:val="618"/>
    <w:next w:val="626"/>
    <w:link w:val="618"/>
    <w:pPr>
      <w:spacing w:before="240" w:after="240"/>
      <w:widowControl/>
    </w:pPr>
    <w:rPr>
      <w:sz w:val="24"/>
      <w:szCs w:val="24"/>
    </w:rPr>
  </w:style>
  <w:style w:type="character" w:styleId="1990" w:default="1">
    <w:name w:val="Default Paragraph Font"/>
    <w:uiPriority w:val="1"/>
    <w:semiHidden/>
    <w:unhideWhenUsed/>
  </w:style>
  <w:style w:type="numbering" w:styleId="1991" w:default="1">
    <w:name w:val="No List"/>
    <w:uiPriority w:val="99"/>
    <w:semiHidden/>
    <w:unhideWhenUsed/>
  </w:style>
  <w:style w:type="table" w:styleId="199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3</cp:revision>
  <dcterms:created xsi:type="dcterms:W3CDTF">2026-04-14T13:39:00Z</dcterms:created>
  <dcterms:modified xsi:type="dcterms:W3CDTF">2026-04-14T14:22:58Z</dcterms:modified>
  <cp:version>1048576</cp:version>
</cp:coreProperties>
</file>