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0" w:type="dxa"/>
        <w:tblCellMar>
          <w:left w:w="50" w:type="dxa"/>
          <w:top w:w="50" w:type="dxa"/>
          <w:right w:w="50" w:type="dxa"/>
          <w:bottom w:w="50" w:type="dxa"/>
        </w:tblCellMar>
        <w:tblLook w:val="04A0" w:firstRow="1" w:lastRow="0" w:firstColumn="1" w:lastColumn="0" w:noHBand="0" w:noVBand="1"/>
      </w:tblPr>
      <w:tblGrid>
        <w:gridCol w:w="9922"/>
      </w:tblGrid>
      <w:tr>
        <w:tblPrEx/>
        <w:trPr>
          <w:tblCellSpacing w:w="0" w:type="dxa"/>
        </w:trPr>
        <w:tc>
          <w:tcPr>
            <w:tcW w:w="0" w:type="auto"/>
            <w:vAlign w:val="center"/>
            <w:textDirection w:val="lrTb"/>
            <w:noWrap w:val="false"/>
          </w:tcPr>
          <w:p>
            <w:pPr>
              <w:pStyle w:val="68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W w:w="4950" w:type="pct"/>
            <w:textDirection w:val="lrTb"/>
            <w:noWrap w:val="false"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Финансовый управляющий Васильевой Ольги Викторовны </w:t>
            </w:r>
            <w:r>
              <w:rPr>
                <w:sz w:val="16"/>
                <w:szCs w:val="16"/>
              </w:rPr>
              <w:t xml:space="preserve">Косточкина</w:t>
            </w:r>
            <w:r>
              <w:rPr>
                <w:sz w:val="16"/>
                <w:szCs w:val="16"/>
              </w:rPr>
              <w:t xml:space="preserve"> Мария Васильевна </w:t>
            </w:r>
            <w:r>
              <w:rPr>
                <w:sz w:val="16"/>
                <w:szCs w:val="16"/>
              </w:rPr>
            </w:r>
          </w:p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0" cy="6350"/>
                      <wp:effectExtent l="0" t="0" r="0" b="0"/>
                      <wp:docPr id="1" name="_x0000_i10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0" cy="6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A0A0A0"/>
                              </a:solidFill>
                              <a:ln>
                                <a:noFill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shape 0" o:spid="_x0000_s0" o:spt="1" type="#_x0000_t1" style="width:0.00pt;height:0.50pt;mso-wrap-distance-left:0.00pt;mso-wrap-distance-top:0.00pt;mso-wrap-distance-right:0.00pt;mso-wrap-distance-bottom:0.00pt;visibility:visible;" fillcolor="#A0A0A0" stroked="f"/>
                  </w:pict>
                </mc:Fallback>
              </mc:AlternateContent>
            </w:r>
            <w:r>
              <w:rPr>
                <w:sz w:val="16"/>
                <w:szCs w:val="16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163046, Архангельская область, Архангельск, Воскресенская, 59, 2 этаж, тел.: </w:t>
            </w:r>
            <w:r>
              <w:rPr>
                <w:sz w:val="16"/>
                <w:szCs w:val="16"/>
              </w:rPr>
              <w:t xml:space="preserve">+79600091050</w:t>
            </w:r>
            <w:r>
              <w:rPr>
                <w:sz w:val="16"/>
                <w:szCs w:val="16"/>
              </w:rPr>
              <w:t xml:space="preserve">, эл. почта: mkostochkina00@mail.ru 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W w:w="0" w:type="auto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</w:p>
        </w:tc>
      </w:tr>
    </w:tbl>
    <w:p>
      <w:pPr>
        <w:rPr>
          <w:vanish/>
          <w:sz w:val="20"/>
          <w:szCs w:val="20"/>
        </w:rPr>
      </w:pPr>
      <w:r>
        <w:rPr>
          <w:vanish/>
          <w:sz w:val="20"/>
          <w:szCs w:val="20"/>
        </w:rPr>
      </w:r>
      <w:r>
        <w:rPr>
          <w:vanish/>
          <w:sz w:val="20"/>
          <w:szCs w:val="20"/>
        </w:rPr>
      </w:r>
    </w:p>
    <w:tbl>
      <w:tblPr>
        <w:tblW w:w="5000" w:type="pct"/>
        <w:tblCellSpacing w:w="0" w:type="dxa"/>
        <w:tblCellMar>
          <w:left w:w="30" w:type="dxa"/>
          <w:top w:w="30" w:type="dxa"/>
          <w:right w:w="30" w:type="dxa"/>
          <w:bottom w:w="30" w:type="dxa"/>
        </w:tblCellMar>
        <w:tblLook w:val="04A0" w:firstRow="1" w:lastRow="0" w:firstColumn="1" w:lastColumn="0" w:noHBand="0" w:noVBand="1"/>
      </w:tblPr>
      <w:tblGrid>
        <w:gridCol w:w="4961"/>
        <w:gridCol w:w="4961"/>
      </w:tblGrid>
      <w:tr>
        <w:tblPrEx/>
        <w:trPr>
          <w:tblCellSpacing w:w="0" w:type="dxa"/>
        </w:trPr>
        <w:tc>
          <w:tcPr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Дата: 7 апреля 2026 г.</w:t>
            </w:r>
            <w:r>
              <w:rPr>
                <w:sz w:val="20"/>
                <w:szCs w:val="20"/>
              </w:rPr>
            </w:r>
          </w:p>
        </w:tc>
        <w:tc>
          <w:tcPr>
            <w:tcW w:w="2500" w:type="pct"/>
            <w:vAlign w:val="center"/>
            <w:textDirection w:val="lrTb"/>
            <w:noWrap w:val="false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составления: Архангельская область, город Архангельск, ул. Воскресенская, д. 59</w:t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86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Решение об оценке имущества гражданина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</w:p>
    <w:tbl>
      <w:tblPr>
        <w:tblW w:w="5000" w:type="pct"/>
        <w:tblCellSpacing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CellMar>
          <w:left w:w="30" w:type="dxa"/>
          <w:top w:w="30" w:type="dxa"/>
          <w:right w:w="30" w:type="dxa"/>
          <w:bottom w:w="30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арбитражного суда, в производстве которого находится дело о банкротстве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Арбитражный суд Псковской области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дела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А52-3077/2025 О.Л. Шубина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принятия судебного акта о введении процедуры банкротства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10.09.2025 г.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назначения арбитражного управляющего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10.09.2025 г.</w:t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86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Сведения об арбитражном управляющем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</w:p>
    <w:tbl>
      <w:tblPr>
        <w:tblW w:w="5000" w:type="pct"/>
        <w:tblCellSpacing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CellMar>
          <w:left w:w="30" w:type="dxa"/>
          <w:top w:w="30" w:type="dxa"/>
          <w:right w:w="30" w:type="dxa"/>
          <w:bottom w:w="30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саморегулируемой организации арбитражных управляющих, членом которой является арбитражный управляющий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Союз "Саморегулируемая организация "Гильдия арбитражных управляющих"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и дата регистрации в едином государственном реестре саморегулируемых организаций арбитражных управляющих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001-5 от 19.12.2002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страховой организации, с которой заключен договор о страховании ответственности арбитражного управляющего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Общество с ограниченной ответственностью «Страховой Дом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договора страхования, дата его заключения и срок действия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17420/700/25 от 24.06.2025, действителен с 24.06.2025 г. по 23.06.2026 г.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Адрес для направления корреспонденции арбитражному управляющему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163046, Архангельская область, Архангельск, Воскресенская, 59, 2 этаж</w:t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86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Сведения о должнике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</w:p>
    <w:tbl>
      <w:tblPr>
        <w:tblW w:w="5000" w:type="pct"/>
        <w:tblCellSpacing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CellMar>
          <w:left w:w="30" w:type="dxa"/>
          <w:top w:w="30" w:type="dxa"/>
          <w:right w:w="30" w:type="dxa"/>
          <w:bottom w:w="30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Ф.И.О. 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Васильева Ольга Викторовна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рождения 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05.08.1979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рождения 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д. Добручи Гдовский р-н Псковская обл.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 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600301049824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СНИЛС 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024-059-681 39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жительства 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регистрация по месту жительства: 181600, Псковская область, г Гдов, </w:t>
            </w:r>
            <w:r>
              <w:rPr>
                <w:sz w:val="20"/>
                <w:szCs w:val="20"/>
              </w:rPr>
              <w:t xml:space="preserve">ул</w:t>
            </w:r>
            <w:r>
              <w:rPr>
                <w:sz w:val="20"/>
                <w:szCs w:val="20"/>
              </w:rPr>
              <w:t xml:space="preserve"> Слободская 2-я</w:t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87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 п. 2 ст. 213.26 Федерального закона от 26.10.2002 № 127-ФЗ «О несостоятельности (банкротстве)» (далее – Закон о банкротстве) оценка имущества гражданина, которое включено в конкурсную массу в соответствии с настоящим Федер</w:t>
      </w:r>
      <w:r>
        <w:rPr>
          <w:sz w:val="20"/>
          <w:szCs w:val="20"/>
        </w:rPr>
        <w:t xml:space="preserve">альным законом, проводится финансовым управляющим самостоятельно, о чем финансовым управляющим принимается решение в письменной форме. Проведенная оценка может быть оспорена гражданином, кредиторами, уполномоченным органом в деле о банкротстве гражданина. </w:t>
      </w:r>
      <w:r>
        <w:rPr>
          <w:sz w:val="20"/>
          <w:szCs w:val="20"/>
        </w:rPr>
      </w:r>
    </w:p>
    <w:p>
      <w:pPr>
        <w:pStyle w:val="687"/>
        <w:rPr>
          <w:sz w:val="20"/>
          <w:szCs w:val="20"/>
        </w:rPr>
      </w:pPr>
      <w:r>
        <w:rPr>
          <w:sz w:val="20"/>
          <w:szCs w:val="20"/>
        </w:rPr>
        <w:t xml:space="preserve">Оценка рыночной стоимости имущества должника проводится в целях определения начальной цены продажи имущества в процедуре реализации имущества, для предоставления в деле о банкротстве гражданина в суд, гражданину, кредиторам, уполномоченным органам. </w:t>
      </w:r>
      <w:r>
        <w:rPr>
          <w:sz w:val="20"/>
          <w:szCs w:val="20"/>
        </w:rPr>
      </w:r>
    </w:p>
    <w:p>
      <w:pPr>
        <w:pStyle w:val="687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со ст. 14 Федерального закона от 29.07.1998 № 135-ФЗ «Об оценочной деятельности в Российской Федерации» оценщик имеет право применять самостоятельно методы проведения оценки объекта оценки в со</w:t>
      </w:r>
      <w:r>
        <w:rPr>
          <w:sz w:val="20"/>
          <w:szCs w:val="20"/>
        </w:rPr>
        <w:t xml:space="preserve">ответствии со стандартами оценки. Основными подходами, используемыми при проведении оценки, являются сравнительный, доходный и затратный подходы. Финансовый управляющий считает целесообразным отказаться от применения затратного и доходного подхода по причи</w:t>
      </w:r>
      <w:r>
        <w:rPr>
          <w:sz w:val="20"/>
          <w:szCs w:val="20"/>
        </w:rPr>
        <w:t xml:space="preserve">не отсутствия у финансового управляющего обоснованной и надежной информации о будущих доходах и расходах, связанных с оцениваемыми объектами, а также в связи с наличием достаточного количества объектов-аналогов на рынке для расчета сравнительным подходом. </w:t>
      </w:r>
      <w:r>
        <w:rPr>
          <w:sz w:val="20"/>
          <w:szCs w:val="20"/>
        </w:rPr>
      </w:r>
    </w:p>
    <w:p>
      <w:pPr>
        <w:pStyle w:val="687"/>
        <w:rPr>
          <w:sz w:val="20"/>
          <w:szCs w:val="20"/>
        </w:rPr>
      </w:pPr>
      <w:r>
        <w:rPr>
          <w:sz w:val="20"/>
          <w:szCs w:val="20"/>
        </w:rPr>
        <w:t xml:space="preserve">Сравнительный подход служит для оценки рыночной стоимости объекта исходя из методов оценки, основанных на получении стоимости объекта оценки путем сравнения оцениваемого объекта с объектами-аналогами которые были проданы или предложены в продажу. </w:t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87"/>
        <w:rPr>
          <w:sz w:val="20"/>
          <w:szCs w:val="20"/>
        </w:rPr>
      </w:pPr>
      <w:r>
        <w:rPr>
          <w:sz w:val="20"/>
          <w:szCs w:val="20"/>
        </w:rPr>
        <w:t xml:space="preserve">На основании п. 2 ст. 213.26 Закона о банкротстве, финансовый управляющий принял решение о самостоятельном проведении оценки имущества, вкл</w:t>
      </w:r>
      <w:r>
        <w:rPr>
          <w:sz w:val="20"/>
          <w:szCs w:val="20"/>
        </w:rPr>
        <w:t xml:space="preserve">юченного в конкурсную массу должника, путем проведения сравнительного анализа рыночных цен на аналогичное по характеристикам имущество, с учетом технических характеристик и корректировки на текущее состояние имущества должника на момент проведения оценки. </w:t>
      </w:r>
      <w:r>
        <w:rPr>
          <w:sz w:val="20"/>
          <w:szCs w:val="20"/>
        </w:rPr>
      </w:r>
    </w:p>
    <w:p>
      <w:pPr>
        <w:pStyle w:val="687"/>
        <w:rPr>
          <w:sz w:val="20"/>
          <w:szCs w:val="20"/>
        </w:rPr>
      </w:pPr>
      <w:r>
        <w:rPr>
          <w:sz w:val="20"/>
          <w:szCs w:val="20"/>
        </w:rPr>
        <w:t xml:space="preserve">При проведении оценки путем сравнительного анализа рыночных цен финансовый управляющий использовал данные о стоимости объектов-аналогов из объявлений, размещенных в открытых источниках в сети Интернет на специальных ресурсах</w:t>
      </w:r>
      <w:r>
        <w:rPr>
          <w:sz w:val="20"/>
          <w:szCs w:val="20"/>
        </w:rPr>
        <w:t xml:space="preserve">.</w:t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87"/>
        <w:rPr>
          <w:sz w:val="20"/>
          <w:szCs w:val="20"/>
        </w:rPr>
      </w:pPr>
      <w:r>
        <w:rPr>
          <w:sz w:val="20"/>
          <w:szCs w:val="20"/>
        </w:rPr>
        <w:t xml:space="preserve">В результате проведения ср</w:t>
      </w:r>
      <w:r>
        <w:rPr>
          <w:sz w:val="20"/>
          <w:szCs w:val="20"/>
        </w:rPr>
        <w:t xml:space="preserve">авнительного анализа среднерыночной стоимости объектов, имеющих схожие характеристики с учетом корректировки на текущее состояние имуществ должника, финансовым управляющим определена следующая стоимость имущества должника по состоянию на 7 апреля 2026 г.: </w:t>
      </w:r>
      <w:r>
        <w:rPr>
          <w:sz w:val="20"/>
          <w:szCs w:val="20"/>
        </w:rPr>
      </w:r>
    </w:p>
    <w:tbl>
      <w:tblPr>
        <w:tblW w:w="5000" w:type="pct"/>
        <w:tblCellSpacing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CellMar>
          <w:left w:w="30" w:type="dxa"/>
          <w:top w:w="30" w:type="dxa"/>
          <w:right w:w="30" w:type="dxa"/>
          <w:bottom w:w="30" w:type="dxa"/>
        </w:tblCellMar>
        <w:tblLook w:val="04A0" w:firstRow="1" w:lastRow="0" w:firstColumn="1" w:lastColumn="0" w:noHBand="0" w:noVBand="1"/>
      </w:tblPr>
      <w:tblGrid>
        <w:gridCol w:w="495"/>
        <w:gridCol w:w="5944"/>
        <w:gridCol w:w="3467"/>
      </w:tblGrid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п/п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00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Наименование, характеристика объекта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5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Рыночная </w:t>
            </w:r>
            <w:r>
              <w:rPr>
                <w:sz w:val="20"/>
                <w:szCs w:val="20"/>
              </w:rPr>
              <w:t xml:space="preserve">стоимость,руб</w:t>
            </w:r>
            <w:r>
              <w:rPr>
                <w:sz w:val="20"/>
                <w:szCs w:val="20"/>
              </w:rPr>
              <w:t xml:space="preserve">.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00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Жилое помещение с кадастровым номером </w:t>
            </w:r>
            <w:r>
              <w:rPr>
                <w:sz w:val="20"/>
                <w:szCs w:val="20"/>
              </w:rPr>
              <w:t xml:space="preserve">60:03:0010228:81</w:t>
            </w:r>
            <w:r>
              <w:rPr>
                <w:sz w:val="20"/>
                <w:szCs w:val="20"/>
              </w:rPr>
              <w:br/>
              <w:t xml:space="preserve">местоположение </w:t>
            </w:r>
            <w:r>
              <w:rPr>
                <w:sz w:val="20"/>
                <w:szCs w:val="20"/>
              </w:rPr>
              <w:t xml:space="preserve">Псковская область, р-н Гдовский, г. Гдов, ГП "Гдов", ул. Слободская 2-я, д. 2, кв. 1</w:t>
            </w:r>
            <w:r>
              <w:rPr>
                <w:sz w:val="20"/>
                <w:szCs w:val="20"/>
              </w:rPr>
              <w:t xml:space="preserve">, площадь 32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5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220000</w:t>
            </w:r>
            <w:r>
              <w:rPr>
                <w:sz w:val="20"/>
                <w:szCs w:val="20"/>
                <w:lang w:val="en-US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00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с кадастровым номером </w:t>
            </w:r>
            <w:r>
              <w:rPr>
                <w:sz w:val="20"/>
                <w:szCs w:val="20"/>
              </w:rPr>
              <w:t xml:space="preserve">60:03:0010228:31</w:t>
            </w:r>
            <w:r>
              <w:rPr>
                <w:sz w:val="20"/>
                <w:szCs w:val="20"/>
              </w:rPr>
              <w:br/>
              <w:t xml:space="preserve">местоположение </w:t>
            </w:r>
            <w:r>
              <w:rPr>
                <w:sz w:val="20"/>
                <w:szCs w:val="20"/>
              </w:rPr>
              <w:t xml:space="preserve">Псковская область, р-н Гдовский, г. Гдов, ул. Слободская 2-я, д. 2, кв. 2</w:t>
            </w:r>
            <w:r>
              <w:rPr>
                <w:sz w:val="20"/>
                <w:szCs w:val="20"/>
              </w:rPr>
              <w:t xml:space="preserve">, площадь </w:t>
            </w:r>
            <w:r>
              <w:rPr>
                <w:sz w:val="20"/>
                <w:szCs w:val="20"/>
              </w:rPr>
              <w:t xml:space="preserve">520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5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144000</w:t>
            </w:r>
            <w:r>
              <w:rPr>
                <w:sz w:val="20"/>
                <w:szCs w:val="20"/>
                <w:lang w:val="en-US"/>
              </w:rPr>
            </w:r>
          </w:p>
        </w:tc>
      </w:tr>
      <w:tr>
        <w:tblPrEx/>
        <w:trPr>
          <w:tblCellSpacing w:w="0" w:type="dxa"/>
        </w:trPr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Итого: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 xml:space="preserve">364000</w:t>
            </w:r>
            <w:r>
              <w:rPr>
                <w:b/>
                <w:bCs/>
                <w:sz w:val="20"/>
                <w:szCs w:val="20"/>
              </w:rPr>
              <w:t xml:space="preserve">,00</w:t>
            </w:r>
            <w:r>
              <w:rPr>
                <w:sz w:val="20"/>
                <w:szCs w:val="20"/>
              </w:rPr>
            </w:r>
          </w:p>
        </w:tc>
      </w:tr>
    </w:tbl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87"/>
        <w:rPr>
          <w:sz w:val="20"/>
          <w:szCs w:val="20"/>
        </w:rPr>
      </w:pPr>
      <w:r>
        <w:rPr>
          <w:sz w:val="20"/>
          <w:szCs w:val="20"/>
        </w:rPr>
        <w:t xml:space="preserve">При проведении оценки рыночной стоимости имущества должника финансовый управляющий руководствовался федеральными стандартами оценки и Федеральным законом от 29.07.1998 № 135-ФЗ «Об оценочной деятельности в Российской Федерации». </w:t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  <w:t xml:space="preserve">Лот №1</w:t>
      </w:r>
      <w:r>
        <w:rPr>
          <w:sz w:val="20"/>
          <w:szCs w:val="20"/>
        </w:rPr>
        <w:br/>
      </w:r>
      <w:r>
        <w:rPr>
          <w:sz w:val="20"/>
          <w:szCs w:val="20"/>
        </w:rPr>
        <w:t xml:space="preserve"> </w:t>
      </w:r>
      <w:r>
        <w:rPr>
          <w:sz w:val="20"/>
          <w:szCs w:val="20"/>
        </w:rPr>
        <w:t xml:space="preserve">Жилое помещение с кадастровым номером </w:t>
      </w:r>
      <w:r>
        <w:rPr>
          <w:sz w:val="20"/>
          <w:szCs w:val="20"/>
        </w:rPr>
        <w:t xml:space="preserve">60:03:0010228:81</w:t>
      </w:r>
      <w:r>
        <w:rPr>
          <w:sz w:val="20"/>
          <w:szCs w:val="20"/>
        </w:rPr>
        <w:br/>
        <w:t xml:space="preserve">местоположение </w:t>
      </w:r>
      <w:r>
        <w:rPr>
          <w:sz w:val="20"/>
          <w:szCs w:val="20"/>
        </w:rPr>
        <w:t xml:space="preserve">Псковская область, р-н Гдовский, г. Гдов, ГП "Гдов", ул. Слободская 2-я, д. 2, кв. 1</w:t>
      </w:r>
      <w:r>
        <w:rPr>
          <w:sz w:val="20"/>
          <w:szCs w:val="20"/>
        </w:rPr>
        <w:t xml:space="preserve">, площадь 32</w:t>
      </w:r>
      <w:r>
        <w:rPr>
          <w:sz w:val="20"/>
          <w:szCs w:val="20"/>
        </w:rPr>
      </w:r>
    </w:p>
    <w:p>
      <w:pPr>
        <w:pStyle w:val="686"/>
        <w:rPr>
          <w:sz w:val="20"/>
          <w:szCs w:val="20"/>
        </w:rPr>
      </w:pPr>
      <w:r>
        <w:rPr>
          <w:sz w:val="20"/>
          <w:szCs w:val="20"/>
        </w:rPr>
        <w:t xml:space="preserve">Кадастровая стоимость (</w:t>
      </w:r>
      <w:r>
        <w:rPr>
          <w:sz w:val="20"/>
          <w:szCs w:val="20"/>
        </w:rPr>
        <w:t xml:space="preserve">руб</w:t>
      </w:r>
      <w:r>
        <w:rPr>
          <w:sz w:val="20"/>
          <w:szCs w:val="20"/>
        </w:rPr>
        <w:t xml:space="preserve">)</w:t>
      </w:r>
      <w:r>
        <w:rPr>
          <w:sz w:val="20"/>
          <w:szCs w:val="20"/>
        </w:rPr>
      </w:r>
    </w:p>
    <w:p>
      <w:pPr>
        <w:pStyle w:val="686"/>
        <w:rPr>
          <w:sz w:val="20"/>
          <w:szCs w:val="20"/>
        </w:rPr>
      </w:pPr>
      <w:r>
        <w:rPr>
          <w:sz w:val="20"/>
          <w:szCs w:val="20"/>
        </w:rPr>
        <w:t xml:space="preserve">221427.84</w:t>
      </w:r>
      <w:r>
        <w:rPr>
          <w:sz w:val="20"/>
          <w:szCs w:val="20"/>
        </w:rPr>
      </w:r>
    </w:p>
    <w:p>
      <w:pPr>
        <w:pStyle w:val="686"/>
        <w:rPr>
          <w:sz w:val="20"/>
          <w:szCs w:val="20"/>
        </w:rPr>
      </w:pPr>
      <w:r/>
      <w:hyperlink r:id="rId10" w:tooltip="https://lk.rosreestr.ru/eservices/real-estate-objects-online?ref=destralegal.ru" w:history="1">
        <w:r>
          <w:rPr>
            <w:rStyle w:val="693"/>
            <w:sz w:val="20"/>
            <w:szCs w:val="20"/>
            <w:lang w:val="en-US"/>
          </w:rPr>
          <w:t xml:space="preserve">https</w:t>
        </w:r>
        <w:r>
          <w:rPr>
            <w:rStyle w:val="693"/>
            <w:sz w:val="20"/>
            <w:szCs w:val="20"/>
          </w:rPr>
          <w:t xml:space="preserve">://</w:t>
        </w:r>
        <w:r>
          <w:rPr>
            <w:rStyle w:val="693"/>
            <w:sz w:val="20"/>
            <w:szCs w:val="20"/>
            <w:lang w:val="en-US"/>
          </w:rPr>
          <w:t xml:space="preserve">lk</w:t>
        </w:r>
        <w:r>
          <w:rPr>
            <w:rStyle w:val="693"/>
            <w:sz w:val="20"/>
            <w:szCs w:val="20"/>
          </w:rPr>
          <w:t xml:space="preserve">.</w:t>
        </w:r>
        <w:r>
          <w:rPr>
            <w:rStyle w:val="693"/>
            <w:sz w:val="20"/>
            <w:szCs w:val="20"/>
            <w:lang w:val="en-US"/>
          </w:rPr>
          <w:t xml:space="preserve">rosreestr</w:t>
        </w:r>
        <w:r>
          <w:rPr>
            <w:rStyle w:val="693"/>
            <w:sz w:val="20"/>
            <w:szCs w:val="20"/>
          </w:rPr>
          <w:t xml:space="preserve">.</w:t>
        </w:r>
        <w:r>
          <w:rPr>
            <w:rStyle w:val="693"/>
            <w:sz w:val="20"/>
            <w:szCs w:val="20"/>
            <w:lang w:val="en-US"/>
          </w:rPr>
          <w:t xml:space="preserve">ru</w:t>
        </w:r>
        <w:r>
          <w:rPr>
            <w:rStyle w:val="693"/>
            <w:sz w:val="20"/>
            <w:szCs w:val="20"/>
          </w:rPr>
          <w:t xml:space="preserve">/</w:t>
        </w:r>
        <w:r>
          <w:rPr>
            <w:rStyle w:val="693"/>
            <w:sz w:val="20"/>
            <w:szCs w:val="20"/>
            <w:lang w:val="en-US"/>
          </w:rPr>
          <w:t xml:space="preserve">eservices</w:t>
        </w:r>
        <w:r>
          <w:rPr>
            <w:rStyle w:val="693"/>
            <w:sz w:val="20"/>
            <w:szCs w:val="20"/>
          </w:rPr>
          <w:t xml:space="preserve">/</w:t>
        </w:r>
        <w:r>
          <w:rPr>
            <w:rStyle w:val="693"/>
            <w:sz w:val="20"/>
            <w:szCs w:val="20"/>
            <w:lang w:val="en-US"/>
          </w:rPr>
          <w:t xml:space="preserve">real</w:t>
        </w:r>
        <w:r>
          <w:rPr>
            <w:rStyle w:val="693"/>
            <w:sz w:val="20"/>
            <w:szCs w:val="20"/>
          </w:rPr>
          <w:t xml:space="preserve">-</w:t>
        </w:r>
        <w:r>
          <w:rPr>
            <w:rStyle w:val="693"/>
            <w:sz w:val="20"/>
            <w:szCs w:val="20"/>
            <w:lang w:val="en-US"/>
          </w:rPr>
          <w:t xml:space="preserve">estate</w:t>
        </w:r>
        <w:r>
          <w:rPr>
            <w:rStyle w:val="693"/>
            <w:sz w:val="20"/>
            <w:szCs w:val="20"/>
          </w:rPr>
          <w:t xml:space="preserve">-</w:t>
        </w:r>
        <w:r>
          <w:rPr>
            <w:rStyle w:val="693"/>
            <w:sz w:val="20"/>
            <w:szCs w:val="20"/>
            <w:lang w:val="en-US"/>
          </w:rPr>
          <w:t xml:space="preserve">objects</w:t>
        </w:r>
        <w:r>
          <w:rPr>
            <w:rStyle w:val="693"/>
            <w:sz w:val="20"/>
            <w:szCs w:val="20"/>
          </w:rPr>
          <w:t xml:space="preserve">-</w:t>
        </w:r>
        <w:r>
          <w:rPr>
            <w:rStyle w:val="693"/>
            <w:sz w:val="20"/>
            <w:szCs w:val="20"/>
            <w:lang w:val="en-US"/>
          </w:rPr>
          <w:t xml:space="preserve">online</w:t>
        </w:r>
        <w:r>
          <w:rPr>
            <w:rStyle w:val="693"/>
            <w:sz w:val="20"/>
            <w:szCs w:val="20"/>
          </w:rPr>
          <w:t xml:space="preserve">?</w:t>
        </w:r>
        <w:r>
          <w:rPr>
            <w:rStyle w:val="693"/>
            <w:sz w:val="20"/>
            <w:szCs w:val="20"/>
            <w:lang w:val="en-US"/>
          </w:rPr>
          <w:t xml:space="preserve">ref</w:t>
        </w:r>
        <w:r>
          <w:rPr>
            <w:rStyle w:val="693"/>
            <w:sz w:val="20"/>
            <w:szCs w:val="20"/>
          </w:rPr>
          <w:t xml:space="preserve">=</w:t>
        </w:r>
        <w:r>
          <w:rPr>
            <w:rStyle w:val="693"/>
            <w:sz w:val="20"/>
            <w:szCs w:val="20"/>
            <w:lang w:val="en-US"/>
          </w:rPr>
          <w:t xml:space="preserve">destralegal</w:t>
        </w:r>
        <w:r>
          <w:rPr>
            <w:rStyle w:val="693"/>
            <w:sz w:val="20"/>
            <w:szCs w:val="20"/>
          </w:rPr>
          <w:t xml:space="preserve">.</w:t>
        </w:r>
        <w:r>
          <w:rPr>
            <w:rStyle w:val="693"/>
            <w:sz w:val="20"/>
            <w:szCs w:val="20"/>
            <w:lang w:val="en-US"/>
          </w:rPr>
          <w:t xml:space="preserve">ru</w:t>
        </w:r>
      </w:hyperlink>
      <w:r/>
      <w:r>
        <w:rPr>
          <w:sz w:val="20"/>
          <w:szCs w:val="20"/>
        </w:rPr>
      </w:r>
    </w:p>
    <w:p>
      <w:pPr>
        <w:pStyle w:val="686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</w:r>
      <w:r>
        <w:rPr>
          <w:sz w:val="20"/>
          <w:szCs w:val="20"/>
          <w:lang w:val="en-US"/>
        </w:rPr>
      </w:r>
    </w:p>
    <w:p>
      <w:pPr>
        <w:pStyle w:val="686"/>
        <w:rPr>
          <w:sz w:val="20"/>
          <w:szCs w:val="20"/>
        </w:rPr>
      </w:pPr>
      <w:r>
        <w:rPr>
          <w:sz w:val="20"/>
          <w:szCs w:val="20"/>
        </w:rPr>
        <w:t xml:space="preserve">Лот №2</w:t>
      </w:r>
      <w:r>
        <w:rPr>
          <w:sz w:val="20"/>
          <w:szCs w:val="20"/>
        </w:rPr>
      </w:r>
    </w:p>
    <w:p>
      <w:pPr>
        <w:pStyle w:val="686"/>
        <w:rPr>
          <w:sz w:val="20"/>
          <w:szCs w:val="20"/>
        </w:rPr>
      </w:pPr>
      <w:r>
        <w:rPr>
          <w:sz w:val="20"/>
          <w:szCs w:val="20"/>
        </w:rPr>
        <w:t xml:space="preserve">Земельный участок с кадастровым номером </w:t>
      </w:r>
      <w:r>
        <w:rPr>
          <w:sz w:val="20"/>
          <w:szCs w:val="20"/>
        </w:rPr>
        <w:t xml:space="preserve">60:03:0010228:31</w:t>
      </w:r>
      <w:r>
        <w:rPr>
          <w:sz w:val="20"/>
          <w:szCs w:val="20"/>
        </w:rPr>
        <w:br/>
        <w:t xml:space="preserve">местоположение </w:t>
      </w:r>
      <w:r>
        <w:rPr>
          <w:sz w:val="20"/>
          <w:szCs w:val="20"/>
        </w:rPr>
        <w:t xml:space="preserve">Псковская область, р-н Гдовский, г. Гдов, ул. Слободская 2-я, д. 2, кв. 2</w:t>
      </w:r>
      <w:r>
        <w:rPr>
          <w:sz w:val="20"/>
          <w:szCs w:val="20"/>
        </w:rPr>
        <w:t xml:space="preserve">, площадь </w:t>
      </w:r>
      <w:r>
        <w:rPr>
          <w:sz w:val="20"/>
          <w:szCs w:val="20"/>
        </w:rPr>
        <w:t xml:space="preserve">520</w:t>
      </w:r>
      <w:r>
        <w:rPr>
          <w:sz w:val="20"/>
          <w:szCs w:val="20"/>
        </w:rPr>
      </w:r>
    </w:p>
    <w:p>
      <w:pPr>
        <w:pStyle w:val="686"/>
        <w:rPr>
          <w:sz w:val="20"/>
          <w:szCs w:val="20"/>
        </w:rPr>
      </w:pPr>
      <w:r>
        <w:rPr>
          <w:sz w:val="20"/>
          <w:szCs w:val="20"/>
        </w:rPr>
        <w:t xml:space="preserve">Кадастровая стоимость (</w:t>
      </w:r>
      <w:r>
        <w:rPr>
          <w:sz w:val="20"/>
          <w:szCs w:val="20"/>
        </w:rPr>
        <w:t xml:space="preserve">руб</w:t>
      </w:r>
      <w:r>
        <w:rPr>
          <w:sz w:val="20"/>
          <w:szCs w:val="20"/>
        </w:rPr>
        <w:t xml:space="preserve">)</w:t>
      </w:r>
      <w:r>
        <w:rPr>
          <w:sz w:val="20"/>
          <w:szCs w:val="20"/>
        </w:rPr>
      </w:r>
    </w:p>
    <w:p>
      <w:pPr>
        <w:pStyle w:val="686"/>
        <w:rPr>
          <w:sz w:val="20"/>
          <w:szCs w:val="20"/>
        </w:rPr>
      </w:pPr>
      <w:r>
        <w:rPr>
          <w:sz w:val="20"/>
          <w:szCs w:val="20"/>
        </w:rPr>
        <w:t xml:space="preserve">144508.00</w:t>
      </w:r>
      <w:r>
        <w:rPr>
          <w:sz w:val="20"/>
          <w:szCs w:val="20"/>
        </w:rPr>
      </w:r>
    </w:p>
    <w:p>
      <w:pPr>
        <w:pStyle w:val="686"/>
        <w:rPr>
          <w:sz w:val="20"/>
          <w:szCs w:val="20"/>
        </w:rPr>
      </w:pPr>
      <w:r/>
      <w:hyperlink r:id="rId11" w:tooltip="https://lk.rosreestr.ru/eservices/real-estate-objects-online?ref=destralegal.ru" w:history="1">
        <w:r>
          <w:rPr>
            <w:rStyle w:val="693"/>
            <w:sz w:val="20"/>
            <w:szCs w:val="20"/>
          </w:rPr>
          <w:t xml:space="preserve">https://lk.rosreestr.ru/eservices/real-estate-objects-online?ref=destralegal.ru</w:t>
        </w:r>
      </w:hyperlink>
      <w:r/>
      <w:r>
        <w:rPr>
          <w:sz w:val="20"/>
          <w:szCs w:val="20"/>
        </w:rPr>
      </w:r>
    </w:p>
    <w:p>
      <w:pPr>
        <w:pStyle w:val="686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CellMar>
          <w:left w:w="30" w:type="dxa"/>
          <w:top w:w="30" w:type="dxa"/>
          <w:right w:w="30" w:type="dxa"/>
          <w:bottom w:w="30" w:type="dxa"/>
        </w:tblCellMar>
        <w:tblLook w:val="04A0" w:firstRow="1" w:lastRow="0" w:firstColumn="1" w:lastColumn="0" w:noHBand="0" w:noVBand="1"/>
      </w:tblPr>
      <w:tblGrid>
        <w:gridCol w:w="4545"/>
        <w:gridCol w:w="2713"/>
        <w:gridCol w:w="2664"/>
      </w:tblGrid>
      <w:tr>
        <w:tblPrEx/>
        <w:trPr>
          <w:tblCellSpacing w:w="0" w:type="dxa"/>
        </w:trPr>
        <w:tc>
          <w:tcPr>
            <w:tcW w:w="5250" w:type="dxa"/>
            <w:textDirection w:val="lrTb"/>
            <w:noWrap w:val="false"/>
          </w:tcPr>
          <w:p>
            <w:pPr>
              <w:pStyle w:val="68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Финансовый управляющий</w:t>
            </w:r>
            <w:r>
              <w:rPr>
                <w:b/>
                <w:bCs/>
                <w:sz w:val="20"/>
                <w:szCs w:val="20"/>
              </w:rPr>
              <w:br/>
              <w:t xml:space="preserve">Васильевой Ольги Викторовны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3300" w:type="dxa"/>
            <w:vAlign w:val="center"/>
            <w:textDirection w:val="lrTb"/>
            <w:noWrap w:val="false"/>
          </w:tcPr>
          <w:p>
            <w:pPr>
              <w:pStyle w:val="6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000" w:type="dxa"/>
            <w:textDirection w:val="lrTb"/>
            <w:noWrap w:val="false"/>
          </w:tcPr>
          <w:p>
            <w:pPr>
              <w:pStyle w:val="686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М.В. </w:t>
            </w:r>
            <w:r>
              <w:rPr>
                <w:b/>
                <w:bCs/>
                <w:sz w:val="20"/>
                <w:szCs w:val="20"/>
              </w:rPr>
              <w:t xml:space="preserve">Косточкина</w:t>
            </w:r>
            <w:r>
              <w:rPr>
                <w:sz w:val="20"/>
                <w:szCs w:val="20"/>
              </w:rPr>
            </w:r>
          </w:p>
        </w:tc>
      </w:tr>
    </w:tbl>
    <w:p>
      <w:r/>
      <w:r/>
    </w:p>
    <w:sectPr>
      <w:footerReference w:type="default" r:id="rId9"/>
      <w:footnotePr/>
      <w:endnotePr/>
      <w:type w:val="nextPage"/>
      <w:pgSz w:w="11907" w:h="16840" w:orient="portrait"/>
      <w:pgMar w:top="851" w:right="851" w:bottom="851" w:left="1134" w:header="0" w:footer="567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Calibri Light">
    <w:panose1 w:val="020F0302020204030204"/>
  </w:font>
  <w:font w:name="Liberation Sans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86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</w:r>
  </w:p>
  <w:p>
    <w:pPr>
      <w:rPr>
        <w:sz w:val="20"/>
        <w:szCs w:val="20"/>
      </w:rPr>
    </w:pPr>
    <w:r>
      <w:rPr>
        <w:sz w:val="20"/>
        <w:szCs w:val="20"/>
      </w:rPr>
      <w:fldChar w:fldCharType="end"/>
    </w:r>
    <w:r>
      <w:rPr>
        <w:sz w:val="20"/>
        <w:szCs w:val="20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">
    <w:name w:val="Heading 1 Char"/>
    <w:basedOn w:val="678"/>
    <w:link w:val="674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17">
    <w:name w:val="Heading 2 Char"/>
    <w:basedOn w:val="678"/>
    <w:link w:val="675"/>
    <w:uiPriority w:val="9"/>
    <w:rPr>
      <w:rFonts w:ascii="Liberation Sans" w:hAnsi="Liberation Sans" w:eastAsia="Liberation Sans" w:cs="Liberation Sans"/>
      <w:sz w:val="34"/>
    </w:rPr>
  </w:style>
  <w:style w:type="character" w:styleId="19">
    <w:name w:val="Heading 3 Char"/>
    <w:basedOn w:val="678"/>
    <w:link w:val="676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21">
    <w:name w:val="Heading 4 Char"/>
    <w:basedOn w:val="678"/>
    <w:link w:val="677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73"/>
    <w:next w:val="673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678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73"/>
    <w:next w:val="673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78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73"/>
    <w:next w:val="673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78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73"/>
    <w:next w:val="673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78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73"/>
    <w:next w:val="673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78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73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73"/>
    <w:next w:val="673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678"/>
    <w:link w:val="35"/>
    <w:uiPriority w:val="10"/>
    <w:rPr>
      <w:sz w:val="48"/>
      <w:szCs w:val="48"/>
    </w:rPr>
  </w:style>
  <w:style w:type="paragraph" w:styleId="37">
    <w:name w:val="Subtitle"/>
    <w:basedOn w:val="673"/>
    <w:next w:val="673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78"/>
    <w:link w:val="37"/>
    <w:uiPriority w:val="11"/>
    <w:rPr>
      <w:sz w:val="24"/>
      <w:szCs w:val="24"/>
    </w:rPr>
  </w:style>
  <w:style w:type="paragraph" w:styleId="39">
    <w:name w:val="Quote"/>
    <w:basedOn w:val="673"/>
    <w:next w:val="673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73"/>
    <w:next w:val="673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73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678"/>
    <w:link w:val="43"/>
    <w:uiPriority w:val="99"/>
  </w:style>
  <w:style w:type="character" w:styleId="46">
    <w:name w:val="Footer Char"/>
    <w:basedOn w:val="678"/>
    <w:link w:val="691"/>
    <w:uiPriority w:val="99"/>
  </w:style>
  <w:style w:type="paragraph" w:styleId="47">
    <w:name w:val="Caption"/>
    <w:basedOn w:val="673"/>
    <w:next w:val="673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78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7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7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7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7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3664a9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245d8d" w:themeColor="accent5" w:themeShade="95"/>
        <w:sz w:val="22"/>
      </w:rPr>
    </w:tblStylePr>
    <w:tblStylePr w:type="firstCol">
      <w:rPr>
        <w:rFonts w:ascii="Liberation Sans" w:hAnsi="Liberation Sans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254374" w:themeColor="accent1" w:themeShade="95"/>
        <w:sz w:val="22"/>
      </w:rPr>
    </w:tblStylePr>
    <w:tblStylePr w:type="firstCol">
      <w:rPr>
        <w:rFonts w:ascii="Liberation Sans" w:hAnsi="Liberation Sans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54374" w:themeColor="accent1" w:themeShade="95"/>
        <w:sz w:val="22"/>
      </w:rPr>
    </w:tblStylePr>
  </w:style>
  <w:style w:type="table" w:styleId="149">
    <w:name w:val="List Table 7 Colorful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2e78b1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e78b1" w:themeColor="accent5" w:themeTint="9A" w:themeShade="95"/>
        <w:sz w:val="22"/>
      </w:rPr>
    </w:tblStylePr>
  </w:style>
  <w:style w:type="table" w:styleId="153">
    <w:name w:val="List Table 7 Colorful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6">
    <w:name w:val="Lined - Accent 2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0">
    <w:name w:val="Lined - Accent 6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3">
    <w:name w:val="Bordered &amp; Lined - Accent 2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7">
    <w:name w:val="Bordered &amp; Lined - Accent 6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6">
    <w:name w:val="footnote text"/>
    <w:basedOn w:val="673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78"/>
    <w:uiPriority w:val="99"/>
    <w:unhideWhenUsed/>
    <w:rPr>
      <w:vertAlign w:val="superscript"/>
    </w:rPr>
  </w:style>
  <w:style w:type="paragraph" w:styleId="179">
    <w:name w:val="endnote text"/>
    <w:basedOn w:val="673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78"/>
    <w:uiPriority w:val="99"/>
    <w:semiHidden/>
    <w:unhideWhenUsed/>
    <w:rPr>
      <w:vertAlign w:val="superscript"/>
    </w:rPr>
  </w:style>
  <w:style w:type="paragraph" w:styleId="182">
    <w:name w:val="toc 1"/>
    <w:basedOn w:val="673"/>
    <w:next w:val="673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73"/>
    <w:next w:val="673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73"/>
    <w:next w:val="673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73"/>
    <w:next w:val="673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73"/>
    <w:next w:val="673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73"/>
    <w:next w:val="673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73"/>
    <w:next w:val="673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73"/>
    <w:next w:val="673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73"/>
    <w:next w:val="673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73"/>
    <w:next w:val="673"/>
    <w:uiPriority w:val="99"/>
    <w:unhideWhenUsed/>
    <w:pPr>
      <w:spacing w:after="0" w:afterAutospacing="0"/>
    </w:pPr>
  </w:style>
  <w:style w:type="paragraph" w:styleId="673" w:default="1">
    <w:name w:val="Normal"/>
    <w:qFormat/>
    <w:rPr>
      <w:sz w:val="24"/>
      <w:szCs w:val="24"/>
    </w:rPr>
  </w:style>
  <w:style w:type="paragraph" w:styleId="674">
    <w:name w:val="Heading 1"/>
    <w:basedOn w:val="673"/>
    <w:link w:val="681"/>
    <w:uiPriority w:val="9"/>
    <w:qFormat/>
    <w:pPr>
      <w:spacing w:before="100" w:beforeAutospacing="1" w:after="100" w:afterAutospacing="1"/>
      <w:outlineLvl w:val="0"/>
    </w:pPr>
    <w:rPr>
      <w:sz w:val="53"/>
      <w:szCs w:val="53"/>
    </w:rPr>
  </w:style>
  <w:style w:type="paragraph" w:styleId="675">
    <w:name w:val="Heading 2"/>
    <w:basedOn w:val="673"/>
    <w:link w:val="682"/>
    <w:uiPriority w:val="9"/>
    <w:qFormat/>
    <w:pPr>
      <w:spacing w:before="100" w:beforeAutospacing="1" w:after="100" w:afterAutospacing="1"/>
      <w:outlineLvl w:val="1"/>
    </w:pPr>
    <w:rPr>
      <w:sz w:val="43"/>
      <w:szCs w:val="43"/>
    </w:rPr>
  </w:style>
  <w:style w:type="paragraph" w:styleId="676">
    <w:name w:val="Heading 3"/>
    <w:basedOn w:val="673"/>
    <w:link w:val="683"/>
    <w:uiPriority w:val="9"/>
    <w:qFormat/>
    <w:pPr>
      <w:spacing w:before="100" w:beforeAutospacing="1" w:after="100" w:afterAutospacing="1"/>
      <w:outlineLvl w:val="2"/>
    </w:pPr>
    <w:rPr>
      <w:sz w:val="38"/>
      <w:szCs w:val="38"/>
    </w:rPr>
  </w:style>
  <w:style w:type="paragraph" w:styleId="677">
    <w:name w:val="Heading 4"/>
    <w:basedOn w:val="673"/>
    <w:link w:val="684"/>
    <w:uiPriority w:val="9"/>
    <w:qFormat/>
    <w:pPr>
      <w:spacing w:before="100" w:beforeAutospacing="1" w:after="100" w:afterAutospacing="1"/>
      <w:outlineLvl w:val="3"/>
    </w:pPr>
    <w:rPr>
      <w:b/>
      <w:bCs/>
      <w:sz w:val="29"/>
      <w:szCs w:val="29"/>
    </w:rPr>
  </w:style>
  <w:style w:type="character" w:styleId="678" w:default="1">
    <w:name w:val="Default Paragraph Font"/>
    <w:uiPriority w:val="1"/>
    <w:unhideWhenUsed/>
  </w:style>
  <w:style w:type="table" w:styleId="67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0" w:default="1">
    <w:name w:val="No List"/>
    <w:uiPriority w:val="99"/>
    <w:semiHidden/>
    <w:unhideWhenUsed/>
  </w:style>
  <w:style w:type="character" w:styleId="681" w:customStyle="1">
    <w:name w:val="Заголовок 1 Знак"/>
    <w:link w:val="674"/>
    <w:uiPriority w:val="9"/>
    <w:rPr>
      <w:rFonts w:ascii="Calibri Light" w:hAnsi="Calibri Light" w:eastAsia="Times New Roman" w:cs="Times New Roman"/>
      <w:color w:val="2f5496"/>
      <w:sz w:val="40"/>
      <w:szCs w:val="40"/>
    </w:rPr>
  </w:style>
  <w:style w:type="character" w:styleId="682" w:customStyle="1">
    <w:name w:val="Заголовок 2 Знак"/>
    <w:link w:val="675"/>
    <w:uiPriority w:val="9"/>
    <w:semiHidden/>
    <w:rPr>
      <w:rFonts w:ascii="Calibri Light" w:hAnsi="Calibri Light" w:eastAsia="Times New Roman" w:cs="Times New Roman"/>
      <w:color w:val="2f5496"/>
      <w:sz w:val="32"/>
      <w:szCs w:val="32"/>
    </w:rPr>
  </w:style>
  <w:style w:type="character" w:styleId="683" w:customStyle="1">
    <w:name w:val="Заголовок 3 Знак"/>
    <w:link w:val="676"/>
    <w:uiPriority w:val="9"/>
    <w:semiHidden/>
    <w:rPr>
      <w:rFonts w:ascii="Calibri" w:hAnsi="Calibri" w:eastAsia="Times New Roman" w:cs="Times New Roman"/>
      <w:color w:val="2f5496"/>
      <w:sz w:val="28"/>
      <w:szCs w:val="28"/>
    </w:rPr>
  </w:style>
  <w:style w:type="character" w:styleId="684" w:customStyle="1">
    <w:name w:val="Заголовок 4 Знак"/>
    <w:link w:val="677"/>
    <w:uiPriority w:val="9"/>
    <w:semiHidden/>
    <w:rPr>
      <w:rFonts w:ascii="Calibri" w:hAnsi="Calibri" w:eastAsia="Times New Roman" w:cs="Times New Roman"/>
      <w:i/>
      <w:iCs/>
      <w:color w:val="2f5496"/>
      <w:sz w:val="24"/>
      <w:szCs w:val="24"/>
    </w:rPr>
  </w:style>
  <w:style w:type="paragraph" w:styleId="685" w:customStyle="1">
    <w:name w:val="msonormal"/>
    <w:basedOn w:val="673"/>
    <w:pPr>
      <w:spacing w:before="120" w:after="120"/>
    </w:pPr>
  </w:style>
  <w:style w:type="paragraph" w:styleId="686">
    <w:name w:val="Normal (Web)"/>
    <w:basedOn w:val="673"/>
    <w:uiPriority w:val="99"/>
    <w:unhideWhenUsed/>
    <w:pPr>
      <w:spacing w:before="120" w:after="120"/>
    </w:pPr>
  </w:style>
  <w:style w:type="paragraph" w:styleId="687" w:customStyle="1">
    <w:name w:val="indent"/>
    <w:basedOn w:val="673"/>
    <w:pPr>
      <w:ind w:firstLine="708"/>
      <w:jc w:val="both"/>
      <w:spacing w:before="120" w:after="120"/>
    </w:pPr>
  </w:style>
  <w:style w:type="paragraph" w:styleId="688" w:customStyle="1">
    <w:name w:val="indnomrg"/>
    <w:basedOn w:val="673"/>
    <w:pPr>
      <w:ind w:firstLine="708"/>
      <w:jc w:val="both"/>
    </w:pPr>
  </w:style>
  <w:style w:type="paragraph" w:styleId="689" w:customStyle="1">
    <w:name w:val="nomrg"/>
    <w:basedOn w:val="673"/>
    <w:pPr>
      <w:jc w:val="both"/>
    </w:pPr>
  </w:style>
  <w:style w:type="paragraph" w:styleId="690" w:customStyle="1">
    <w:name w:val="zagolovok6"/>
    <w:qFormat/>
    <w:rPr>
      <w:sz w:val="24"/>
      <w:szCs w:val="24"/>
    </w:rPr>
  </w:style>
  <w:style w:type="paragraph" w:styleId="691">
    <w:name w:val="Footer"/>
    <w:basedOn w:val="673"/>
    <w:link w:val="692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692" w:customStyle="1">
    <w:name w:val="Нижний колонтитул Знак"/>
    <w:link w:val="691"/>
    <w:uiPriority w:val="99"/>
    <w:rPr>
      <w:rFonts w:eastAsia="Times New Roman"/>
      <w:sz w:val="24"/>
      <w:szCs w:val="24"/>
    </w:rPr>
  </w:style>
  <w:style w:type="character" w:styleId="693">
    <w:name w:val="Hyperlink"/>
    <w:basedOn w:val="678"/>
    <w:uiPriority w:val="99"/>
    <w:unhideWhenUsed/>
    <w:rPr>
      <w:color w:val="0563c1" w:themeColor="hyperlink"/>
      <w:u w:val="single"/>
    </w:rPr>
  </w:style>
  <w:style w:type="character" w:styleId="694">
    <w:name w:val="Unresolved Mention"/>
    <w:basedOn w:val="678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hyperlink" Target="https://lk.rosreestr.ru/eservices/real-estate-objects-online?ref=destralegal.ru" TargetMode="External"/><Relationship Id="rId11" Type="http://schemas.openxmlformats.org/officeDocument/2006/relationships/hyperlink" Target="https://lk.rosreestr.ru/eservices/real-estate-objects-online?ref=destralegal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об оценке имущества гражданина</dc:title>
  <dc:subject/>
  <dc:creator>Kalining</dc:creator>
  <cp:keywords/>
  <dc:description/>
  <cp:lastModifiedBy>alesh</cp:lastModifiedBy>
  <cp:revision>4</cp:revision>
  <dcterms:created xsi:type="dcterms:W3CDTF">2026-04-07T08:13:00Z</dcterms:created>
  <dcterms:modified xsi:type="dcterms:W3CDTF">2026-06-22T13:20:21Z</dcterms:modified>
</cp:coreProperties>
</file>