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tblInd w:w="0" w:type="dxa"/>
        <w:tblLayout w:type="autofit"/>
        <w:tblCellMar>
          <w:left w:w="50" w:type="dxa"/>
          <w:top w:w="50" w:type="dxa"/>
          <w:right w:w="50" w:type="dxa"/>
          <w:bottom w:w="50" w:type="dxa"/>
        </w:tblCellMar>
        <w:tblLook w:val="04A0" w:firstRow="1" w:lastRow="0" w:firstColumn="1" w:lastColumn="0" w:noHBand="0" w:noVBand="1"/>
      </w:tblPr>
      <w:tblGrid>
        <w:gridCol w:w="9922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22" w:type="auto"/>
            <w:vAlign w:val="center"/>
            <w:textDirection w:val="lrTb"/>
            <w:noWrap w:val="false"/>
          </w:tcPr>
          <w:p>
            <w:pPr>
              <w:pStyle w:val="86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50" w:type="pct"/>
            <w:vAlign w:val="top"/>
            <w:textDirection w:val="lrTb"/>
            <w:noWrap w:val="false"/>
          </w:tcPr>
          <w:p>
            <w:pPr>
              <w:pStyle w:val="856"/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Финансовый управляющий </w:t>
            </w:r>
            <w:r>
              <w:rPr>
                <w:sz w:val="22"/>
                <w:szCs w:val="22"/>
              </w:rPr>
            </w:r>
            <w:r>
              <w:rPr>
                <w:b w:val="0"/>
                <w:bCs w:val="0"/>
                <w:sz w:val="22"/>
                <w:szCs w:val="22"/>
              </w:rPr>
              <w:t xml:space="preserve">Горелика</w:t>
            </w:r>
            <w:r>
              <w:rPr>
                <w:b w:val="0"/>
                <w:bCs w:val="0"/>
                <w:sz w:val="22"/>
                <w:szCs w:val="22"/>
              </w:rPr>
              <w:t xml:space="preserve"> Александра</w:t>
            </w:r>
            <w:r>
              <w:rPr>
                <w:b w:val="0"/>
                <w:bCs w:val="0"/>
                <w:sz w:val="22"/>
                <w:szCs w:val="22"/>
              </w:rPr>
              <w:t xml:space="preserve"> Михайловича</w:t>
            </w:r>
            <w:r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Косточкина Мария Васильевна</w:t>
            </w:r>
            <w:r/>
          </w:p>
          <w:p>
            <w:pPr>
              <w:pStyle w:val="856"/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  <w:r/>
          </w:p>
          <w:p>
            <w:pPr>
              <w:pStyle w:val="856"/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163046, Архангельск, Воскресенская, д. 59, 2 этаж,</w:t>
            </w:r>
            <w:r/>
          </w:p>
          <w:p>
            <w:pPr>
              <w:pStyle w:val="85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эл. почта: mkostochkina00@mail.ru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22" w:type="auto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56"/>
        <w:rPr>
          <w:vanish/>
          <w:sz w:val="20"/>
          <w:szCs w:val="20"/>
        </w:rPr>
      </w:pPr>
      <w:r>
        <w:rPr>
          <w:vanish/>
          <w:sz w:val="20"/>
          <w:szCs w:val="20"/>
        </w:rPr>
      </w:r>
      <w:r>
        <w:rPr>
          <w:vanish/>
          <w:sz w:val="20"/>
          <w:szCs w:val="20"/>
        </w:rPr>
      </w:r>
      <w:r>
        <w:rPr>
          <w:vanish/>
          <w:sz w:val="20"/>
          <w:szCs w:val="20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30" w:type="dxa"/>
          <w:top w:w="30" w:type="dxa"/>
          <w:right w:w="30" w:type="dxa"/>
          <w:bottom w:w="30" w:type="dxa"/>
        </w:tblCellMar>
        <w:tblLook w:val="04A0" w:firstRow="1" w:lastRow="0" w:firstColumn="1" w:lastColumn="0" w:noHBand="0" w:noVBand="1"/>
      </w:tblPr>
      <w:tblGrid>
        <w:gridCol w:w="4961"/>
        <w:gridCol w:w="4961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Дата: 29 марта 2026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составления: Архангельск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69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Решение об оценке имущества граждани</w:t>
      </w:r>
      <w:r>
        <w:rPr>
          <w:b/>
          <w:bCs/>
          <w:sz w:val="20"/>
          <w:szCs w:val="20"/>
        </w:rPr>
        <w:t xml:space="preserve">на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30" w:type="dxa"/>
          <w:top w:w="30" w:type="dxa"/>
          <w:right w:w="30" w:type="dxa"/>
          <w:bottom w:w="30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арбитражного суда, в производстве которого находится дело о банкротстве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shd w:val="clear" w:color="ffffff" w:themeColor="background1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highlight w:val="white"/>
              </w:rPr>
              <w:t xml:space="preserve">Арбитражный суд Калининградской области</w:t>
            </w:r>
            <w: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дела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№ </w:t>
            </w:r>
            <w:r>
              <w:rPr>
                <w:b/>
                <w:bCs/>
                <w:sz w:val="20"/>
                <w:szCs w:val="20"/>
              </w:rPr>
              <w:t xml:space="preserve">А21-16812/2025</w:t>
            </w:r>
            <w:r/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принятия судебного акта о введении процедуры банкротства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17.02.2026 г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назначения арбитражного управляющего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 17.02.2026 г</w:t>
            </w:r>
            <w:r/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69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об арбитражном управляющем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30" w:type="dxa"/>
          <w:top w:w="30" w:type="dxa"/>
          <w:right w:w="30" w:type="dxa"/>
          <w:bottom w:w="30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саморегулируемой организации арбитражных управляющих, членом которой является арбитражный управляющий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Союз "Саморегулируемая организация "Гильдия арбитражных управляющих"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и дата регистрации в едином государственном реестре саморегулируемых организаций арбитражных управляющих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001-5 от 19.12.2002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страховой</w:t>
            </w:r>
            <w:r>
              <w:rPr>
                <w:sz w:val="20"/>
                <w:szCs w:val="20"/>
              </w:rPr>
              <w:t xml:space="preserve"> организации, с которой заключен договор о страховании ответственности арбитражного управляющего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договора страхования, дата его заключения и срок действия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Адрес для направления корреспонденции арбитражному управляющему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163046, обл Архангельская, г</w:t>
            </w:r>
            <w:r>
              <w:rPr>
                <w:sz w:val="20"/>
                <w:szCs w:val="20"/>
              </w:rPr>
              <w:t xml:space="preserve"> Архангельск, ул Воскресенская, д 59, этаж 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69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 должнике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30" w:type="dxa"/>
          <w:top w:w="30" w:type="dxa"/>
          <w:right w:w="30" w:type="dxa"/>
          <w:bottom w:w="30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highlight w:val="none"/>
              </w:rPr>
              <w:t xml:space="preserve">                                  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highlight w:val="none"/>
              </w:rPr>
              <w:t xml:space="preserve"> </w:t>
            </w:r>
            <w:r>
              <w:rPr>
                <w:b w:val="0"/>
                <w:bCs w:val="0"/>
                <w:sz w:val="22"/>
                <w:szCs w:val="22"/>
              </w:rPr>
              <w:t xml:space="preserve">Горелик</w:t>
            </w:r>
            <w:r>
              <w:rPr>
                <w:b w:val="0"/>
                <w:bCs w:val="0"/>
                <w:sz w:val="22"/>
                <w:szCs w:val="22"/>
              </w:rPr>
              <w:t xml:space="preserve"> Александр</w:t>
            </w:r>
            <w:r>
              <w:rPr>
                <w:b w:val="0"/>
                <w:bCs w:val="0"/>
                <w:sz w:val="22"/>
                <w:szCs w:val="22"/>
              </w:rPr>
              <w:t xml:space="preserve"> Михайлович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рождения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</w:rPr>
              <w:t xml:space="preserve">04.03.1984</w:t>
            </w:r>
            <w:r/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рождения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г. Гродно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</w:rPr>
              <w:t xml:space="preserve">391404717672</w:t>
            </w:r>
            <w:r/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СНИЛС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</w:rPr>
              <w:t xml:space="preserve">139-244-914 76</w:t>
            </w:r>
            <w:r/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жительства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spacing w:before="0" w:after="0" w:line="57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br/>
              <w:t xml:space="preserve">         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236019,г. Калининград, ул. Жиленкова, д. 14, кв. 16</w:t>
            </w:r>
            <w:r/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</w:tbl>
    <w:p>
      <w:pPr>
        <w:pStyle w:val="870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 п. 2 ст. 213.26 Федеральног</w:t>
      </w:r>
      <w:r>
        <w:rPr>
          <w:sz w:val="20"/>
          <w:szCs w:val="20"/>
        </w:rPr>
        <w:t xml:space="preserve">о закона от 26.10.2002 № 127-ФЗ «О несостоятельности (банкротстве)» (далее – Закон о банкротстве) оценка имущества гражданина, которое включено в конкурсную массу в соответствии с настоящим Федеральным законом, проводится финансовым управляющим самостоятел</w:t>
      </w:r>
      <w:r>
        <w:rPr>
          <w:sz w:val="20"/>
          <w:szCs w:val="20"/>
        </w:rPr>
        <w:t xml:space="preserve">ьно, о чем финансовым управляющим принимается решение в письменной форме. Проведенная оценка может быть оспорена гражданином, кредиторами, уполномоченным органом в деле о банкротстве гражданина.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0"/>
        <w:rPr>
          <w:sz w:val="20"/>
          <w:szCs w:val="20"/>
        </w:rPr>
      </w:pPr>
      <w:r>
        <w:rPr>
          <w:sz w:val="20"/>
          <w:szCs w:val="20"/>
        </w:rPr>
        <w:t xml:space="preserve">Оценка рыночной стоимости имущества должника проводится в целях определения начальной цены продажи имущества в процедуре реализации имущества, для предоставления в деле о банкротстве гражданина в суд, гражданину, кредиторам, уполномоченным органам.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0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со ст. 14 Федерального закона от 29.07.1998 № 135-ФЗ «Об оценочной деятел</w:t>
      </w:r>
      <w:r>
        <w:rPr>
          <w:sz w:val="20"/>
          <w:szCs w:val="20"/>
        </w:rPr>
        <w:t xml:space="preserve">ьности в Российской Федерации» оценщик имеет право применять самостоятельно методы проведения оценки объекта оценки в соответствии со стандартами оценки. Основными подходами, используемыми при проведении оценки, являются сравнительный, доходный и затратный</w:t>
      </w:r>
      <w:r>
        <w:rPr>
          <w:sz w:val="20"/>
          <w:szCs w:val="20"/>
        </w:rPr>
        <w:t xml:space="preserve"> подходы. Финансовый управляющий считает целесообразным отказаться от применения затратного и доходного подхода по причине отсутствия у финансового управляющего обоснов</w:t>
      </w:r>
      <w:r>
        <w:rPr>
          <w:sz w:val="20"/>
          <w:szCs w:val="20"/>
        </w:rPr>
        <w:t xml:space="preserve">анной и надежной информации о будущих доходах и расходах, связанных с оцениваемыми объектами, а также в связи с наличием достаточного количества объектов-аналогов на рынке для расчета сравнительным подходом.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0"/>
        <w:rPr>
          <w:sz w:val="20"/>
          <w:szCs w:val="20"/>
        </w:rPr>
      </w:pPr>
      <w:r>
        <w:rPr>
          <w:sz w:val="20"/>
          <w:szCs w:val="20"/>
        </w:rPr>
        <w:t xml:space="preserve">Сравнительный подход служит для оценки рыночной стоимости объекта исходя из методов оценки, основанных на получении стоимости объекта оценки путем сравнения оцениваемого объекта с объектами-аналогами которые были проданы или предложены в продажу.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56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0"/>
        <w:rPr>
          <w:sz w:val="20"/>
          <w:szCs w:val="20"/>
        </w:rPr>
      </w:pPr>
      <w:r>
        <w:rPr>
          <w:sz w:val="20"/>
          <w:szCs w:val="20"/>
        </w:rPr>
        <w:t xml:space="preserve">На основании п. 2 ст. 213.26 Закона о банкротстве, финансовый управляющий принял решение о самостоятельном проведении оценки имущества, вкл</w:t>
      </w:r>
      <w:r>
        <w:rPr>
          <w:sz w:val="20"/>
          <w:szCs w:val="20"/>
        </w:rPr>
        <w:t xml:space="preserve">юченного в конкурсную массу должника, путем проведения сравнительного анализа рыночных цен на аналогичное по характеристикам имущество, с учетом технических характеристик и корректировки на текущее состояние имущества должника на момент проведения оценки.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56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0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В результате проведения сра</w:t>
      </w:r>
      <w:r>
        <w:rPr>
          <w:sz w:val="20"/>
          <w:szCs w:val="20"/>
        </w:rPr>
        <w:t xml:space="preserve">внительного анализа среднерыночной стоимости объектов, имеющих схожие характеристики с учетом корректировки на текущее состояние имуществ должника, финансовым управляющим определена следующая стоимость имущества должника по состоянию на 29 марта 2026 г.: 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0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30" w:type="dxa"/>
          <w:top w:w="30" w:type="dxa"/>
          <w:right w:w="30" w:type="dxa"/>
          <w:bottom w:w="30" w:type="dxa"/>
        </w:tblCellMar>
        <w:tblLook w:val="04A0" w:firstRow="1" w:lastRow="0" w:firstColumn="1" w:lastColumn="0" w:noHBand="0" w:noVBand="1"/>
      </w:tblPr>
      <w:tblGrid>
        <w:gridCol w:w="496"/>
        <w:gridCol w:w="5953"/>
        <w:gridCol w:w="3472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" w:type="pct"/>
            <w:vAlign w:val="center"/>
            <w:textDirection w:val="lrTb"/>
            <w:noWrap w:val="false"/>
          </w:tcPr>
          <w:p>
            <w:pPr>
              <w:pStyle w:val="8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п/п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00" w:type="pct"/>
            <w:vAlign w:val="center"/>
            <w:textDirection w:val="lrTb"/>
            <w:noWrap w:val="false"/>
          </w:tcPr>
          <w:p>
            <w:pPr>
              <w:pStyle w:val="8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Наименование, характеристика объекта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0" w:type="pct"/>
            <w:vAlign w:val="center"/>
            <w:textDirection w:val="lrTb"/>
            <w:noWrap w:val="false"/>
          </w:tcPr>
          <w:p>
            <w:pPr>
              <w:pStyle w:val="8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Рыночная стоимость,руб.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" w:type="pct"/>
            <w:vAlign w:val="center"/>
            <w:vMerge w:val="restart"/>
            <w:textDirection w:val="lrTb"/>
            <w:noWrap w:val="false"/>
          </w:tcPr>
          <w:p>
            <w:pPr>
              <w:pStyle w:val="8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00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Автомобиль марки: </w:t>
            </w:r>
            <w:r>
              <w:rPr>
                <w:sz w:val="20"/>
                <w:szCs w:val="20"/>
              </w:rPr>
              <w:t xml:space="preserve">N</w:t>
            </w:r>
            <w:r>
              <w:rPr>
                <w:sz w:val="20"/>
                <w:szCs w:val="20"/>
              </w:rPr>
              <w:t xml:space="preserve">I</w:t>
            </w:r>
            <w:r>
              <w:rPr>
                <w:sz w:val="20"/>
                <w:szCs w:val="20"/>
              </w:rPr>
              <w:t xml:space="preserve">S</w:t>
            </w:r>
            <w:r>
              <w:rPr>
                <w:sz w:val="20"/>
                <w:szCs w:val="20"/>
              </w:rPr>
              <w:t xml:space="preserve">S</w:t>
            </w:r>
            <w:r>
              <w:rPr>
                <w:sz w:val="20"/>
                <w:szCs w:val="20"/>
              </w:rPr>
              <w:t xml:space="preserve">A</w:t>
            </w:r>
            <w:r>
              <w:rPr>
                <w:sz w:val="20"/>
                <w:szCs w:val="20"/>
              </w:rPr>
              <w:t xml:space="preserve">N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P</w:t>
            </w:r>
            <w:r>
              <w:rPr>
                <w:sz w:val="20"/>
                <w:szCs w:val="20"/>
              </w:rPr>
              <w:t xml:space="preserve">R</w:t>
            </w:r>
            <w:r>
              <w:rPr>
                <w:sz w:val="20"/>
                <w:szCs w:val="20"/>
              </w:rPr>
              <w:t xml:space="preserve">I</w:t>
            </w:r>
            <w:r>
              <w:rPr>
                <w:sz w:val="20"/>
                <w:szCs w:val="20"/>
              </w:rPr>
              <w:t xml:space="preserve">M</w:t>
            </w:r>
            <w:r>
              <w:rPr>
                <w:sz w:val="20"/>
                <w:szCs w:val="20"/>
              </w:rPr>
              <w:t xml:space="preserve">E</w:t>
            </w:r>
            <w:r>
              <w:rPr>
                <w:sz w:val="20"/>
                <w:szCs w:val="20"/>
              </w:rPr>
              <w:t xml:space="preserve">R</w:t>
            </w:r>
            <w:r>
              <w:rPr>
                <w:sz w:val="20"/>
                <w:szCs w:val="20"/>
              </w:rPr>
              <w:t xml:space="preserve">A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  <w:t xml:space="preserve">.</w:t>
            </w: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S</w:t>
            </w:r>
            <w:r>
              <w:rPr>
                <w:sz w:val="20"/>
                <w:szCs w:val="20"/>
              </w:rPr>
              <w:t xml:space="preserve">L</w:t>
            </w:r>
            <w:r>
              <w:rPr>
                <w:sz w:val="20"/>
                <w:szCs w:val="20"/>
              </w:rPr>
              <w:t xml:space="preserve">X</w:t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Год выпуска: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  <w:t xml:space="preserve">9</w:t>
            </w:r>
            <w:r>
              <w:rPr>
                <w:sz w:val="20"/>
                <w:szCs w:val="20"/>
              </w:rPr>
              <w:t xml:space="preserve">9</w:t>
            </w: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Государственный регистрационный знак:  К454УК39</w:t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Идентификационный номер: </w:t>
            </w:r>
            <w:r>
              <w:rPr>
                <w:sz w:val="20"/>
                <w:szCs w:val="20"/>
              </w:rPr>
              <w:t xml:space="preserve">S</w:t>
            </w:r>
            <w:r>
              <w:rPr>
                <w:sz w:val="20"/>
                <w:szCs w:val="20"/>
              </w:rPr>
              <w:t xml:space="preserve">J</w:t>
            </w:r>
            <w:r>
              <w:rPr>
                <w:sz w:val="20"/>
                <w:szCs w:val="20"/>
              </w:rPr>
              <w:t xml:space="preserve">N</w:t>
            </w:r>
            <w:r>
              <w:rPr>
                <w:sz w:val="20"/>
                <w:szCs w:val="20"/>
              </w:rPr>
              <w:t xml:space="preserve">F</w:t>
            </w:r>
            <w:r>
              <w:rPr>
                <w:sz w:val="20"/>
                <w:szCs w:val="20"/>
              </w:rPr>
              <w:t xml:space="preserve">C</w:t>
            </w:r>
            <w:r>
              <w:rPr>
                <w:sz w:val="20"/>
                <w:szCs w:val="20"/>
              </w:rPr>
              <w:t xml:space="preserve">A</w:t>
            </w:r>
            <w:r>
              <w:rPr>
                <w:sz w:val="20"/>
                <w:szCs w:val="20"/>
              </w:rPr>
              <w:t xml:space="preserve">P</w:t>
            </w: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  <w:t xml:space="preserve">U</w:t>
            </w: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  <w:t xml:space="preserve">7</w:t>
            </w:r>
            <w:r>
              <w:rPr>
                <w:sz w:val="20"/>
                <w:szCs w:val="20"/>
              </w:rPr>
              <w:t xml:space="preserve">9</w:t>
            </w: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  <w:t xml:space="preserve">5</w:t>
            </w:r>
            <w:r>
              <w:rPr>
                <w:sz w:val="20"/>
                <w:szCs w:val="20"/>
              </w:rPr>
              <w:t xml:space="preserve">7</w:t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Тип ТС: </w:t>
            </w:r>
            <w:r>
              <w:rPr>
                <w:sz w:val="20"/>
                <w:szCs w:val="20"/>
              </w:rPr>
              <w:t xml:space="preserve">легковой комби ( хэтчбек)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Шасси (рама) №: </w:t>
            </w:r>
            <w:r>
              <w:rPr>
                <w:sz w:val="20"/>
                <w:szCs w:val="20"/>
              </w:rPr>
              <w:t xml:space="preserve">Отсутствует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Кузов: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S</w:t>
            </w:r>
            <w:r>
              <w:rPr>
                <w:sz w:val="20"/>
                <w:szCs w:val="20"/>
              </w:rPr>
              <w:t xml:space="preserve">J</w:t>
            </w:r>
            <w:r>
              <w:rPr>
                <w:sz w:val="20"/>
                <w:szCs w:val="20"/>
              </w:rPr>
              <w:t xml:space="preserve">N</w:t>
            </w:r>
            <w:r>
              <w:rPr>
                <w:sz w:val="20"/>
                <w:szCs w:val="20"/>
              </w:rPr>
              <w:t xml:space="preserve">F</w:t>
            </w:r>
            <w:r>
              <w:rPr>
                <w:sz w:val="20"/>
                <w:szCs w:val="20"/>
              </w:rPr>
              <w:t xml:space="preserve">C</w:t>
            </w:r>
            <w:r>
              <w:rPr>
                <w:sz w:val="20"/>
                <w:szCs w:val="20"/>
              </w:rPr>
              <w:t xml:space="preserve">A</w:t>
            </w:r>
            <w:r>
              <w:rPr>
                <w:sz w:val="20"/>
                <w:szCs w:val="20"/>
              </w:rPr>
              <w:t xml:space="preserve">P</w:t>
            </w: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  <w:t xml:space="preserve">U</w:t>
            </w: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  <w:t xml:space="preserve">7</w:t>
            </w:r>
            <w:r>
              <w:rPr>
                <w:sz w:val="20"/>
                <w:szCs w:val="20"/>
              </w:rPr>
              <w:t xml:space="preserve">9</w:t>
            </w: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  <w:t xml:space="preserve">5</w:t>
            </w:r>
            <w:r>
              <w:rPr>
                <w:sz w:val="20"/>
                <w:szCs w:val="20"/>
              </w:rPr>
              <w:t xml:space="preserve">7</w:t>
            </w:r>
            <w:r/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Цвет кузова:</w:t>
            </w:r>
            <w:r>
              <w:rPr>
                <w:sz w:val="20"/>
                <w:szCs w:val="20"/>
              </w:rPr>
              <w:t xml:space="preserve"> Темно- серый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Разрешенная максимальная масса, кг: 1685</w:t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Масса без нагрузки, кг: 1180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0" w:type="pct"/>
            <w:vAlign w:val="center"/>
            <w:vMerge w:val="restart"/>
            <w:textDirection w:val="lrTb"/>
            <w:noWrap w:val="false"/>
          </w:tcPr>
          <w:p>
            <w:pPr>
              <w:pStyle w:val="8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100000</w:t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449" w:type="auto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Итого: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72" w:type="auto"/>
            <w:vAlign w:val="center"/>
            <w:textDirection w:val="lrTb"/>
            <w:noWrap w:val="false"/>
          </w:tcPr>
          <w:p>
            <w:pPr>
              <w:pStyle w:val="8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100000</w:t>
            </w:r>
            <w:r>
              <w:rPr>
                <w:sz w:val="20"/>
                <w:szCs w:val="20"/>
              </w:rPr>
            </w:r>
          </w:p>
          <w:p>
            <w:pPr>
              <w:pStyle w:val="856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56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0"/>
        <w:rPr>
          <w:sz w:val="20"/>
          <w:szCs w:val="20"/>
        </w:rPr>
      </w:pPr>
      <w:r>
        <w:rPr>
          <w:sz w:val="20"/>
          <w:szCs w:val="20"/>
        </w:rPr>
        <w:t xml:space="preserve">При проведении оценки рыночной стоимости имущества должника финансовый управляющий руководствовался федеральными стандартами оценки и Федеральным законом от 29.07.1998 № 135-ФЗ «Об оценочной деятельности в Российской Федерации».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  <w:t xml:space="preserve">ОПИСАНИЕ ЛОТА 1: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  <w:t xml:space="preserve">Техническое состояние не проверялось финансовым управляющим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</w:r>
      <w:r/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</w:r>
      <w:r>
        <w:rPr>
          <w:b/>
          <w:bCs/>
          <w:i/>
          <w:iCs/>
          <w:sz w:val="20"/>
          <w:szCs w:val="20"/>
        </w:rPr>
        <w:t xml:space="preserve"> документы</w:t>
      </w:r>
      <w:r>
        <w:rPr>
          <w:sz w:val="20"/>
          <w:szCs w:val="20"/>
          <w:highlight w:val="none"/>
        </w:rPr>
      </w:r>
      <w:r>
        <w:rPr>
          <w:sz w:val="20"/>
          <w:szCs w:val="20"/>
        </w:rPr>
      </w:r>
    </w:p>
    <w:p>
      <w:pPr>
        <w:pStyle w:val="879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552950" cy="6534150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07038795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4552949" cy="65341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358.50pt;height:514.50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</w:p>
    <w:p>
      <w:pPr>
        <w:pStyle w:val="879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sz w:val="20"/>
          <w:szCs w:val="20"/>
          <w:highlight w:val="none"/>
        </w:rPr>
      </w:r>
      <w:r>
        <w:rPr>
          <w:b/>
          <w:bCs/>
          <w:i/>
          <w:sz w:val="20"/>
          <w:szCs w:val="20"/>
          <w:highlight w:val="none"/>
        </w:rPr>
      </w:r>
    </w:p>
    <w:p>
      <w:pPr>
        <w:pStyle w:val="879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sz w:val="20"/>
          <w:szCs w:val="20"/>
          <w:highlight w:val="none"/>
        </w:rPr>
      </w:r>
      <w:r>
        <w:rPr>
          <w:b/>
          <w:bCs/>
          <w:i/>
          <w:sz w:val="20"/>
          <w:szCs w:val="20"/>
          <w:highlight w:val="none"/>
        </w:rPr>
      </w:r>
    </w:p>
    <w:p>
      <w:pPr>
        <w:pStyle w:val="879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657725" cy="6496050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6609675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4657725" cy="64960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366.75pt;height:511.50pt;mso-wrap-distance-left:0.00pt;mso-wrap-distance-top:0.00pt;mso-wrap-distance-right:0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</w:p>
    <w:p>
      <w:pPr>
        <w:pStyle w:val="879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sz w:val="20"/>
          <w:szCs w:val="20"/>
          <w:highlight w:val="none"/>
        </w:rPr>
      </w:r>
      <w:r>
        <w:rPr>
          <w:b/>
          <w:bCs/>
          <w:i/>
          <w:sz w:val="20"/>
          <w:szCs w:val="20"/>
          <w:highlight w:val="none"/>
        </w:rPr>
      </w:r>
    </w:p>
    <w:p>
      <w:pPr>
        <w:pStyle w:val="879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sz w:val="20"/>
          <w:szCs w:val="20"/>
          <w:highlight w:val="none"/>
        </w:rPr>
      </w:r>
      <w:r>
        <w:rPr>
          <w:b/>
          <w:bCs/>
          <w:i/>
          <w:sz w:val="20"/>
          <w:szCs w:val="20"/>
          <w:highlight w:val="none"/>
        </w:rPr>
      </w:r>
    </w:p>
    <w:p>
      <w:pPr>
        <w:pStyle w:val="879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91225" cy="8524875"/>
                <wp:effectExtent l="0" t="0" r="0" b="0"/>
                <wp:docPr id="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51971875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5991224" cy="85248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471.75pt;height:671.25pt;mso-wrap-distance-left:0.00pt;mso-wrap-distance-top:0.00pt;mso-wrap-distance-right:0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</w:p>
    <w:p>
      <w:pPr>
        <w:pStyle w:val="879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sz w:val="20"/>
          <w:szCs w:val="20"/>
          <w:highlight w:val="none"/>
        </w:rPr>
      </w:r>
      <w:r>
        <w:rPr>
          <w:b/>
          <w:bCs/>
          <w:i/>
          <w:sz w:val="20"/>
          <w:szCs w:val="20"/>
          <w:highlight w:val="none"/>
        </w:rPr>
      </w:r>
    </w:p>
    <w:p>
      <w:pPr>
        <w:pStyle w:val="879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sz w:val="20"/>
          <w:szCs w:val="20"/>
          <w:highlight w:val="none"/>
        </w:rPr>
      </w:r>
      <w:r>
        <w:rPr>
          <w:b/>
          <w:bCs/>
          <w:i/>
          <w:sz w:val="20"/>
          <w:szCs w:val="20"/>
          <w:highlight w:val="none"/>
        </w:rPr>
      </w:r>
    </w:p>
    <w:p>
      <w:pPr>
        <w:pStyle w:val="879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sz w:val="20"/>
          <w:szCs w:val="20"/>
          <w:highlight w:val="none"/>
        </w:rPr>
      </w:r>
      <w:r>
        <w:rPr>
          <w:b/>
          <w:bCs/>
          <w:i/>
          <w:sz w:val="20"/>
          <w:szCs w:val="20"/>
          <w:highlight w:val="none"/>
        </w:rPr>
      </w:r>
    </w:p>
    <w:p>
      <w:pPr>
        <w:pStyle w:val="879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sz w:val="20"/>
          <w:szCs w:val="20"/>
          <w:highlight w:val="none"/>
        </w:rPr>
      </w:r>
      <w:r>
        <w:rPr>
          <w:b/>
          <w:bCs/>
          <w:i/>
          <w:sz w:val="20"/>
          <w:szCs w:val="20"/>
          <w:highlight w:val="none"/>
        </w:rPr>
      </w:r>
    </w:p>
    <w:p>
      <w:pPr>
        <w:pStyle w:val="879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8273791"/>
                <wp:effectExtent l="0" t="0" r="0" b="0"/>
                <wp:docPr id="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61950789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6300469" cy="827379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496.10pt;height:651.48pt;mso-wrap-distance-left:0.00pt;mso-wrap-distance-top:0.00pt;mso-wrap-distance-right:0.00pt;mso-wrap-distance-bottom:0.00pt;" stroked="false">
                <v:path textboxrect="0,0,0,0"/>
                <v:imagedata r:id="rId13" o:title=""/>
              </v:shape>
            </w:pict>
          </mc:Fallback>
        </mc:AlternateContent>
      </w: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</w:p>
    <w:p>
      <w:pPr>
        <w:pStyle w:val="879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sz w:val="20"/>
          <w:szCs w:val="20"/>
          <w:highlight w:val="none"/>
        </w:rPr>
      </w:r>
      <w:r>
        <w:rPr>
          <w:b/>
          <w:bCs/>
          <w:i/>
          <w:sz w:val="20"/>
          <w:szCs w:val="20"/>
          <w:highlight w:val="none"/>
        </w:rPr>
      </w:r>
    </w:p>
    <w:p>
      <w:pPr>
        <w:pStyle w:val="879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sz w:val="20"/>
          <w:szCs w:val="20"/>
          <w:highlight w:val="none"/>
        </w:rPr>
      </w:r>
      <w:r>
        <w:rPr>
          <w:b/>
          <w:bCs/>
          <w:i/>
          <w:sz w:val="20"/>
          <w:szCs w:val="20"/>
          <w:highlight w:val="none"/>
        </w:rPr>
      </w:r>
    </w:p>
    <w:p>
      <w:pPr>
        <w:pStyle w:val="879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sz w:val="20"/>
          <w:szCs w:val="20"/>
          <w:highlight w:val="none"/>
        </w:rPr>
      </w:r>
      <w:r>
        <w:rPr>
          <w:b/>
          <w:bCs/>
          <w:i/>
          <w:sz w:val="20"/>
          <w:szCs w:val="20"/>
          <w:highlight w:val="none"/>
        </w:rPr>
      </w:r>
    </w:p>
    <w:p>
      <w:pPr>
        <w:pStyle w:val="879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6236668"/>
                <wp:effectExtent l="0" t="0" r="0" b="0"/>
                <wp:docPr id="5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65982092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6300469" cy="62366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496.10pt;height:491.08pt;mso-wrap-distance-left:0.00pt;mso-wrap-distance-top:0.00pt;mso-wrap-distance-right:0.00pt;mso-wrap-distance-bottom:0.00pt;" stroked="false">
                <v:path textboxrect="0,0,0,0"/>
                <v:imagedata r:id="rId14" o:title=""/>
              </v:shape>
            </w:pict>
          </mc:Fallback>
        </mc:AlternateContent>
      </w: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</w:p>
    <w:p>
      <w:pPr>
        <w:pStyle w:val="869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30" w:type="dxa"/>
          <w:top w:w="30" w:type="dxa"/>
          <w:right w:w="30" w:type="dxa"/>
          <w:bottom w:w="30" w:type="dxa"/>
        </w:tblCellMar>
        <w:tblLook w:val="04A0" w:firstRow="1" w:lastRow="0" w:firstColumn="1" w:lastColumn="0" w:noHBand="0" w:noVBand="1"/>
      </w:tblPr>
      <w:tblGrid>
        <w:gridCol w:w="5250"/>
        <w:gridCol w:w="3300"/>
        <w:gridCol w:w="3000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250" w:type="dxa"/>
            <w:vAlign w:val="top"/>
            <w:textDirection w:val="lrTb"/>
            <w:noWrap w:val="false"/>
          </w:tcPr>
          <w:p>
            <w:pPr>
              <w:pStyle w:val="869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Финансовый управляющий</w:t>
              <w:br w:type="textWrapping" w:clear="all"/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 xml:space="preserve">Горелика</w:t>
            </w:r>
            <w:r>
              <w:rPr>
                <w:b/>
                <w:bCs/>
                <w:sz w:val="22"/>
                <w:szCs w:val="22"/>
              </w:rPr>
              <w:t xml:space="preserve"> Александра</w:t>
            </w:r>
            <w:r>
              <w:rPr>
                <w:b/>
                <w:bCs/>
                <w:sz w:val="22"/>
                <w:szCs w:val="22"/>
              </w:rPr>
              <w:t xml:space="preserve"> Михайловича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300" w:type="dxa"/>
            <w:vAlign w:val="center"/>
            <w:textDirection w:val="lrTb"/>
            <w:noWrap w:val="false"/>
          </w:tcPr>
          <w:p>
            <w:pPr>
              <w:pStyle w:val="86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000" w:type="dxa"/>
            <w:vAlign w:val="top"/>
            <w:textDirection w:val="lrTb"/>
            <w:noWrap w:val="false"/>
          </w:tcPr>
          <w:p>
            <w:pPr>
              <w:pStyle w:val="86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М.В.Косточкина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r/>
      <w:r/>
    </w:p>
    <w:sectPr>
      <w:footerReference w:type="default" r:id="rId9"/>
      <w:footnotePr/>
      <w:endnotePr/>
      <w:type w:val="nextPage"/>
      <w:pgSz w:w="11907" w:h="16840" w:orient="portrait"/>
      <w:pgMar w:top="851" w:right="851" w:bottom="851" w:left="1134" w:header="0" w:footer="567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Calibri Light">
    <w:panose1 w:val="020F030202020403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9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</w:r>
    <w:r>
      <w:rPr>
        <w:sz w:val="20"/>
        <w:szCs w:val="20"/>
      </w:rPr>
    </w:r>
  </w:p>
  <w:p>
    <w:pPr>
      <w:pStyle w:val="856"/>
      <w:rPr>
        <w:sz w:val="20"/>
        <w:szCs w:val="20"/>
      </w:rPr>
    </w:pPr>
    <w:r>
      <w:rPr>
        <w:sz w:val="20"/>
        <w:szCs w:val="20"/>
      </w:rPr>
      <w:fldChar w:fldCharType="end"/>
    </w:r>
    <w:r>
      <w:rPr>
        <w:sz w:val="20"/>
        <w:szCs w:val="20"/>
      </w:rPr>
    </w:r>
    <w:r>
      <w:rPr>
        <w:sz w:val="20"/>
        <w:szCs w:val="20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8">
    <w:name w:val="Heading 1"/>
    <w:basedOn w:val="856"/>
    <w:next w:val="856"/>
    <w:link w:val="67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9">
    <w:name w:val="Heading 1 Char"/>
    <w:link w:val="678"/>
    <w:uiPriority w:val="9"/>
    <w:rPr>
      <w:rFonts w:ascii="Arial" w:hAnsi="Arial" w:eastAsia="Arial" w:cs="Arial"/>
      <w:sz w:val="40"/>
      <w:szCs w:val="40"/>
    </w:rPr>
  </w:style>
  <w:style w:type="paragraph" w:styleId="680">
    <w:name w:val="Heading 2"/>
    <w:basedOn w:val="856"/>
    <w:next w:val="856"/>
    <w:link w:val="68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1">
    <w:name w:val="Heading 2 Char"/>
    <w:link w:val="680"/>
    <w:uiPriority w:val="9"/>
    <w:rPr>
      <w:rFonts w:ascii="Arial" w:hAnsi="Arial" w:eastAsia="Arial" w:cs="Arial"/>
      <w:sz w:val="34"/>
    </w:rPr>
  </w:style>
  <w:style w:type="paragraph" w:styleId="682">
    <w:name w:val="Heading 3"/>
    <w:basedOn w:val="856"/>
    <w:next w:val="856"/>
    <w:link w:val="68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3">
    <w:name w:val="Heading 3 Char"/>
    <w:link w:val="682"/>
    <w:uiPriority w:val="9"/>
    <w:rPr>
      <w:rFonts w:ascii="Arial" w:hAnsi="Arial" w:eastAsia="Arial" w:cs="Arial"/>
      <w:sz w:val="30"/>
      <w:szCs w:val="30"/>
    </w:rPr>
  </w:style>
  <w:style w:type="paragraph" w:styleId="684">
    <w:name w:val="Heading 4"/>
    <w:basedOn w:val="856"/>
    <w:next w:val="856"/>
    <w:link w:val="68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5">
    <w:name w:val="Heading 4 Char"/>
    <w:link w:val="684"/>
    <w:uiPriority w:val="9"/>
    <w:rPr>
      <w:rFonts w:ascii="Arial" w:hAnsi="Arial" w:eastAsia="Arial" w:cs="Arial"/>
      <w:b/>
      <w:bCs/>
      <w:sz w:val="26"/>
      <w:szCs w:val="26"/>
    </w:rPr>
  </w:style>
  <w:style w:type="paragraph" w:styleId="686">
    <w:name w:val="Heading 5"/>
    <w:basedOn w:val="856"/>
    <w:next w:val="856"/>
    <w:link w:val="68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7">
    <w:name w:val="Heading 5 Char"/>
    <w:link w:val="686"/>
    <w:uiPriority w:val="9"/>
    <w:rPr>
      <w:rFonts w:ascii="Arial" w:hAnsi="Arial" w:eastAsia="Arial" w:cs="Arial"/>
      <w:b/>
      <w:bCs/>
      <w:sz w:val="24"/>
      <w:szCs w:val="24"/>
    </w:rPr>
  </w:style>
  <w:style w:type="paragraph" w:styleId="688">
    <w:name w:val="Heading 6"/>
    <w:basedOn w:val="856"/>
    <w:next w:val="856"/>
    <w:link w:val="68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9">
    <w:name w:val="Heading 6 Char"/>
    <w:link w:val="688"/>
    <w:uiPriority w:val="9"/>
    <w:rPr>
      <w:rFonts w:ascii="Arial" w:hAnsi="Arial" w:eastAsia="Arial" w:cs="Arial"/>
      <w:b/>
      <w:bCs/>
      <w:sz w:val="22"/>
      <w:szCs w:val="22"/>
    </w:rPr>
  </w:style>
  <w:style w:type="paragraph" w:styleId="690">
    <w:name w:val="Heading 7"/>
    <w:basedOn w:val="856"/>
    <w:next w:val="856"/>
    <w:link w:val="69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1">
    <w:name w:val="Heading 7 Char"/>
    <w:link w:val="69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2">
    <w:name w:val="Heading 8"/>
    <w:basedOn w:val="856"/>
    <w:next w:val="856"/>
    <w:link w:val="69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3">
    <w:name w:val="Heading 8 Char"/>
    <w:link w:val="692"/>
    <w:uiPriority w:val="9"/>
    <w:rPr>
      <w:rFonts w:ascii="Arial" w:hAnsi="Arial" w:eastAsia="Arial" w:cs="Arial"/>
      <w:i/>
      <w:iCs/>
      <w:sz w:val="22"/>
      <w:szCs w:val="22"/>
    </w:rPr>
  </w:style>
  <w:style w:type="paragraph" w:styleId="694">
    <w:name w:val="Heading 9"/>
    <w:basedOn w:val="856"/>
    <w:next w:val="856"/>
    <w:link w:val="69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5">
    <w:name w:val="Heading 9 Char"/>
    <w:link w:val="694"/>
    <w:uiPriority w:val="9"/>
    <w:rPr>
      <w:rFonts w:ascii="Arial" w:hAnsi="Arial" w:eastAsia="Arial" w:cs="Arial"/>
      <w:i/>
      <w:iCs/>
      <w:sz w:val="21"/>
      <w:szCs w:val="21"/>
    </w:rPr>
  </w:style>
  <w:style w:type="paragraph" w:styleId="696">
    <w:name w:val="List Paragraph"/>
    <w:basedOn w:val="856"/>
    <w:uiPriority w:val="34"/>
    <w:qFormat/>
    <w:pPr>
      <w:contextualSpacing/>
      <w:ind w:left="720"/>
    </w:pPr>
  </w:style>
  <w:style w:type="paragraph" w:styleId="697">
    <w:name w:val="No Spacing"/>
    <w:uiPriority w:val="1"/>
    <w:qFormat/>
    <w:pPr>
      <w:spacing w:before="0" w:after="0" w:line="240" w:lineRule="auto"/>
    </w:pPr>
  </w:style>
  <w:style w:type="paragraph" w:styleId="698">
    <w:name w:val="Title"/>
    <w:basedOn w:val="856"/>
    <w:next w:val="856"/>
    <w:link w:val="69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9">
    <w:name w:val="Title Char"/>
    <w:link w:val="698"/>
    <w:uiPriority w:val="10"/>
    <w:rPr>
      <w:sz w:val="48"/>
      <w:szCs w:val="48"/>
    </w:rPr>
  </w:style>
  <w:style w:type="paragraph" w:styleId="700">
    <w:name w:val="Subtitle"/>
    <w:basedOn w:val="856"/>
    <w:next w:val="856"/>
    <w:link w:val="701"/>
    <w:uiPriority w:val="11"/>
    <w:qFormat/>
    <w:pPr>
      <w:spacing w:before="200" w:after="200"/>
    </w:pPr>
    <w:rPr>
      <w:sz w:val="24"/>
      <w:szCs w:val="24"/>
    </w:rPr>
  </w:style>
  <w:style w:type="character" w:styleId="701">
    <w:name w:val="Subtitle Char"/>
    <w:link w:val="700"/>
    <w:uiPriority w:val="11"/>
    <w:rPr>
      <w:sz w:val="24"/>
      <w:szCs w:val="24"/>
    </w:rPr>
  </w:style>
  <w:style w:type="paragraph" w:styleId="702">
    <w:name w:val="Quote"/>
    <w:basedOn w:val="856"/>
    <w:next w:val="856"/>
    <w:link w:val="703"/>
    <w:uiPriority w:val="29"/>
    <w:qFormat/>
    <w:pPr>
      <w:ind w:left="720" w:right="720"/>
    </w:pPr>
    <w:rPr>
      <w:i/>
    </w:rPr>
  </w:style>
  <w:style w:type="character" w:styleId="703">
    <w:name w:val="Quote Char"/>
    <w:link w:val="702"/>
    <w:uiPriority w:val="29"/>
    <w:rPr>
      <w:i/>
    </w:rPr>
  </w:style>
  <w:style w:type="paragraph" w:styleId="704">
    <w:name w:val="Intense Quote"/>
    <w:basedOn w:val="856"/>
    <w:next w:val="856"/>
    <w:link w:val="70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5">
    <w:name w:val="Intense Quote Char"/>
    <w:link w:val="704"/>
    <w:uiPriority w:val="30"/>
    <w:rPr>
      <w:i/>
    </w:rPr>
  </w:style>
  <w:style w:type="paragraph" w:styleId="706">
    <w:name w:val="Header"/>
    <w:basedOn w:val="856"/>
    <w:link w:val="70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7">
    <w:name w:val="Header Char"/>
    <w:link w:val="706"/>
    <w:uiPriority w:val="99"/>
  </w:style>
  <w:style w:type="paragraph" w:styleId="708">
    <w:name w:val="Footer"/>
    <w:basedOn w:val="856"/>
    <w:link w:val="70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9">
    <w:name w:val="Footer Char"/>
    <w:link w:val="708"/>
    <w:uiPriority w:val="99"/>
  </w:style>
  <w:style w:type="paragraph" w:styleId="710">
    <w:name w:val="Caption"/>
    <w:basedOn w:val="856"/>
    <w:next w:val="856"/>
    <w:link w:val="71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1">
    <w:name w:val="Caption Char"/>
    <w:link w:val="710"/>
    <w:uiPriority w:val="35"/>
    <w:rPr>
      <w:b/>
      <w:bCs/>
      <w:color w:val="4f81bd" w:themeColor="accent1"/>
      <w:sz w:val="18"/>
      <w:szCs w:val="18"/>
    </w:rPr>
  </w:style>
  <w:style w:type="table" w:styleId="712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3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4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5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6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7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9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1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2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3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4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5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6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7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8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0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1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2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3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4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5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6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7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8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9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0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1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6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7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8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9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0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1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2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4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5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6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7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8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9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0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1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2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3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14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15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16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17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8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9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0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1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2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3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4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5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6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7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8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9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0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1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2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3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4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5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6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7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8">
    <w:name w:val="Hyperlink"/>
    <w:uiPriority w:val="99"/>
    <w:unhideWhenUsed/>
    <w:rPr>
      <w:color w:val="0000ff" w:themeColor="hyperlink"/>
      <w:u w:val="single"/>
    </w:rPr>
  </w:style>
  <w:style w:type="paragraph" w:styleId="839">
    <w:name w:val="footnote text"/>
    <w:basedOn w:val="856"/>
    <w:link w:val="840"/>
    <w:uiPriority w:val="99"/>
    <w:semiHidden/>
    <w:unhideWhenUsed/>
    <w:pPr>
      <w:spacing w:after="40" w:line="240" w:lineRule="auto"/>
    </w:pPr>
    <w:rPr>
      <w:sz w:val="18"/>
    </w:rPr>
  </w:style>
  <w:style w:type="character" w:styleId="840">
    <w:name w:val="Footnote Text Char"/>
    <w:link w:val="839"/>
    <w:uiPriority w:val="99"/>
    <w:rPr>
      <w:sz w:val="18"/>
    </w:rPr>
  </w:style>
  <w:style w:type="character" w:styleId="841">
    <w:name w:val="footnote reference"/>
    <w:uiPriority w:val="99"/>
    <w:unhideWhenUsed/>
    <w:rPr>
      <w:vertAlign w:val="superscript"/>
    </w:rPr>
  </w:style>
  <w:style w:type="paragraph" w:styleId="842">
    <w:name w:val="endnote text"/>
    <w:basedOn w:val="856"/>
    <w:link w:val="843"/>
    <w:uiPriority w:val="99"/>
    <w:semiHidden/>
    <w:unhideWhenUsed/>
    <w:pPr>
      <w:spacing w:after="0" w:line="240" w:lineRule="auto"/>
    </w:pPr>
    <w:rPr>
      <w:sz w:val="20"/>
    </w:rPr>
  </w:style>
  <w:style w:type="character" w:styleId="843">
    <w:name w:val="Endnote Text Char"/>
    <w:link w:val="842"/>
    <w:uiPriority w:val="99"/>
    <w:rPr>
      <w:sz w:val="20"/>
    </w:rPr>
  </w:style>
  <w:style w:type="character" w:styleId="844">
    <w:name w:val="endnote reference"/>
    <w:uiPriority w:val="99"/>
    <w:semiHidden/>
    <w:unhideWhenUsed/>
    <w:rPr>
      <w:vertAlign w:val="superscript"/>
    </w:rPr>
  </w:style>
  <w:style w:type="paragraph" w:styleId="845">
    <w:name w:val="toc 1"/>
    <w:basedOn w:val="856"/>
    <w:next w:val="856"/>
    <w:uiPriority w:val="39"/>
    <w:unhideWhenUsed/>
    <w:pPr>
      <w:ind w:left="0" w:right="0" w:firstLine="0"/>
      <w:spacing w:after="57"/>
    </w:pPr>
  </w:style>
  <w:style w:type="paragraph" w:styleId="846">
    <w:name w:val="toc 2"/>
    <w:basedOn w:val="856"/>
    <w:next w:val="856"/>
    <w:uiPriority w:val="39"/>
    <w:unhideWhenUsed/>
    <w:pPr>
      <w:ind w:left="283" w:right="0" w:firstLine="0"/>
      <w:spacing w:after="57"/>
    </w:pPr>
  </w:style>
  <w:style w:type="paragraph" w:styleId="847">
    <w:name w:val="toc 3"/>
    <w:basedOn w:val="856"/>
    <w:next w:val="856"/>
    <w:uiPriority w:val="39"/>
    <w:unhideWhenUsed/>
    <w:pPr>
      <w:ind w:left="567" w:right="0" w:firstLine="0"/>
      <w:spacing w:after="57"/>
    </w:pPr>
  </w:style>
  <w:style w:type="paragraph" w:styleId="848">
    <w:name w:val="toc 4"/>
    <w:basedOn w:val="856"/>
    <w:next w:val="856"/>
    <w:uiPriority w:val="39"/>
    <w:unhideWhenUsed/>
    <w:pPr>
      <w:ind w:left="850" w:right="0" w:firstLine="0"/>
      <w:spacing w:after="57"/>
    </w:pPr>
  </w:style>
  <w:style w:type="paragraph" w:styleId="849">
    <w:name w:val="toc 5"/>
    <w:basedOn w:val="856"/>
    <w:next w:val="856"/>
    <w:uiPriority w:val="39"/>
    <w:unhideWhenUsed/>
    <w:pPr>
      <w:ind w:left="1134" w:right="0" w:firstLine="0"/>
      <w:spacing w:after="57"/>
    </w:pPr>
  </w:style>
  <w:style w:type="paragraph" w:styleId="850">
    <w:name w:val="toc 6"/>
    <w:basedOn w:val="856"/>
    <w:next w:val="856"/>
    <w:uiPriority w:val="39"/>
    <w:unhideWhenUsed/>
    <w:pPr>
      <w:ind w:left="1417" w:right="0" w:firstLine="0"/>
      <w:spacing w:after="57"/>
    </w:pPr>
  </w:style>
  <w:style w:type="paragraph" w:styleId="851">
    <w:name w:val="toc 7"/>
    <w:basedOn w:val="856"/>
    <w:next w:val="856"/>
    <w:uiPriority w:val="39"/>
    <w:unhideWhenUsed/>
    <w:pPr>
      <w:ind w:left="1701" w:right="0" w:firstLine="0"/>
      <w:spacing w:after="57"/>
    </w:pPr>
  </w:style>
  <w:style w:type="paragraph" w:styleId="852">
    <w:name w:val="toc 8"/>
    <w:basedOn w:val="856"/>
    <w:next w:val="856"/>
    <w:uiPriority w:val="39"/>
    <w:unhideWhenUsed/>
    <w:pPr>
      <w:ind w:left="1984" w:right="0" w:firstLine="0"/>
      <w:spacing w:after="57"/>
    </w:pPr>
  </w:style>
  <w:style w:type="paragraph" w:styleId="853">
    <w:name w:val="toc 9"/>
    <w:basedOn w:val="856"/>
    <w:next w:val="856"/>
    <w:uiPriority w:val="39"/>
    <w:unhideWhenUsed/>
    <w:pPr>
      <w:ind w:left="2268" w:right="0" w:firstLine="0"/>
      <w:spacing w:after="57"/>
    </w:pPr>
  </w:style>
  <w:style w:type="paragraph" w:styleId="854">
    <w:name w:val="TOC Heading"/>
    <w:uiPriority w:val="39"/>
    <w:unhideWhenUsed/>
  </w:style>
  <w:style w:type="paragraph" w:styleId="855">
    <w:name w:val="table of figures"/>
    <w:basedOn w:val="856"/>
    <w:next w:val="856"/>
    <w:uiPriority w:val="99"/>
    <w:unhideWhenUsed/>
    <w:pPr>
      <w:spacing w:after="0" w:afterAutospacing="0"/>
    </w:pPr>
  </w:style>
  <w:style w:type="paragraph" w:styleId="856" w:default="1">
    <w:name w:val="Normal"/>
    <w:next w:val="856"/>
    <w:link w:val="856"/>
    <w:qFormat/>
    <w:rPr>
      <w:sz w:val="24"/>
      <w:szCs w:val="24"/>
      <w:lang w:val="ru-RU" w:eastAsia="ru-RU" w:bidi="ar-SA"/>
    </w:rPr>
  </w:style>
  <w:style w:type="paragraph" w:styleId="857">
    <w:name w:val="Заголовок 1"/>
    <w:basedOn w:val="856"/>
    <w:next w:val="857"/>
    <w:link w:val="864"/>
    <w:uiPriority w:val="9"/>
    <w:qFormat/>
    <w:pPr>
      <w:spacing w:before="100" w:beforeAutospacing="1" w:after="100" w:afterAutospacing="1"/>
      <w:outlineLvl w:val="0"/>
    </w:pPr>
    <w:rPr>
      <w:sz w:val="53"/>
      <w:szCs w:val="53"/>
    </w:rPr>
  </w:style>
  <w:style w:type="paragraph" w:styleId="858">
    <w:name w:val="Заголовок 2"/>
    <w:basedOn w:val="856"/>
    <w:next w:val="858"/>
    <w:link w:val="865"/>
    <w:uiPriority w:val="9"/>
    <w:qFormat/>
    <w:pPr>
      <w:spacing w:before="100" w:beforeAutospacing="1" w:after="100" w:afterAutospacing="1"/>
      <w:outlineLvl w:val="1"/>
    </w:pPr>
    <w:rPr>
      <w:sz w:val="43"/>
      <w:szCs w:val="43"/>
    </w:rPr>
  </w:style>
  <w:style w:type="paragraph" w:styleId="859">
    <w:name w:val="Заголовок 3"/>
    <w:basedOn w:val="856"/>
    <w:next w:val="859"/>
    <w:link w:val="866"/>
    <w:uiPriority w:val="9"/>
    <w:qFormat/>
    <w:pPr>
      <w:spacing w:before="100" w:beforeAutospacing="1" w:after="100" w:afterAutospacing="1"/>
      <w:outlineLvl w:val="2"/>
    </w:pPr>
    <w:rPr>
      <w:sz w:val="38"/>
      <w:szCs w:val="38"/>
    </w:rPr>
  </w:style>
  <w:style w:type="paragraph" w:styleId="860">
    <w:name w:val="Заголовок 4"/>
    <w:basedOn w:val="856"/>
    <w:next w:val="860"/>
    <w:link w:val="867"/>
    <w:uiPriority w:val="9"/>
    <w:qFormat/>
    <w:pPr>
      <w:spacing w:before="100" w:beforeAutospacing="1" w:after="100" w:afterAutospacing="1"/>
      <w:outlineLvl w:val="3"/>
    </w:pPr>
    <w:rPr>
      <w:b/>
      <w:bCs/>
      <w:sz w:val="29"/>
      <w:szCs w:val="29"/>
    </w:rPr>
  </w:style>
  <w:style w:type="character" w:styleId="861">
    <w:name w:val="Основной шрифт абзаца"/>
    <w:next w:val="861"/>
    <w:link w:val="856"/>
    <w:uiPriority w:val="1"/>
    <w:semiHidden/>
    <w:unhideWhenUsed/>
  </w:style>
  <w:style w:type="table" w:styleId="862">
    <w:name w:val="Обычная таблица"/>
    <w:next w:val="862"/>
    <w:link w:val="856"/>
    <w:uiPriority w:val="99"/>
    <w:semiHidden/>
    <w:unhideWhenUsed/>
    <w:tblPr/>
  </w:style>
  <w:style w:type="numbering" w:styleId="863">
    <w:name w:val="Нет списка"/>
    <w:next w:val="863"/>
    <w:link w:val="856"/>
    <w:uiPriority w:val="99"/>
    <w:semiHidden/>
    <w:unhideWhenUsed/>
  </w:style>
  <w:style w:type="character" w:styleId="864">
    <w:name w:val="Заголовок 1 Знак"/>
    <w:next w:val="864"/>
    <w:link w:val="857"/>
    <w:uiPriority w:val="9"/>
    <w:rPr>
      <w:rFonts w:ascii="Calibri Light" w:hAnsi="Calibri Light" w:eastAsia="Times New Roman" w:cs="Times New Roman"/>
      <w:color w:val="2f5496"/>
      <w:sz w:val="40"/>
      <w:szCs w:val="40"/>
    </w:rPr>
  </w:style>
  <w:style w:type="character" w:styleId="865">
    <w:name w:val="Заголовок 2 Знак"/>
    <w:next w:val="865"/>
    <w:link w:val="858"/>
    <w:uiPriority w:val="9"/>
    <w:semiHidden/>
    <w:rPr>
      <w:rFonts w:ascii="Calibri Light" w:hAnsi="Calibri Light" w:eastAsia="Times New Roman" w:cs="Times New Roman"/>
      <w:color w:val="2f5496"/>
      <w:sz w:val="32"/>
      <w:szCs w:val="32"/>
    </w:rPr>
  </w:style>
  <w:style w:type="character" w:styleId="866">
    <w:name w:val="Заголовок 3 Знак"/>
    <w:next w:val="866"/>
    <w:link w:val="859"/>
    <w:uiPriority w:val="9"/>
    <w:semiHidden/>
    <w:rPr>
      <w:rFonts w:ascii="Calibri" w:hAnsi="Calibri" w:eastAsia="Times New Roman" w:cs="Times New Roman"/>
      <w:color w:val="2f5496"/>
      <w:sz w:val="28"/>
      <w:szCs w:val="28"/>
    </w:rPr>
  </w:style>
  <w:style w:type="character" w:styleId="867">
    <w:name w:val="Заголовок 4 Знак"/>
    <w:next w:val="867"/>
    <w:link w:val="860"/>
    <w:uiPriority w:val="9"/>
    <w:semiHidden/>
    <w:rPr>
      <w:rFonts w:ascii="Calibri" w:hAnsi="Calibri" w:eastAsia="Times New Roman" w:cs="Times New Roman"/>
      <w:i/>
      <w:iCs/>
      <w:color w:val="2f5496"/>
      <w:sz w:val="24"/>
      <w:szCs w:val="24"/>
    </w:rPr>
  </w:style>
  <w:style w:type="paragraph" w:styleId="868">
    <w:name w:val="msonormal"/>
    <w:basedOn w:val="856"/>
    <w:next w:val="868"/>
    <w:link w:val="856"/>
    <w:pPr>
      <w:spacing w:before="120" w:after="120"/>
    </w:pPr>
  </w:style>
  <w:style w:type="paragraph" w:styleId="869">
    <w:name w:val="Обычный (Интернет)"/>
    <w:basedOn w:val="856"/>
    <w:next w:val="869"/>
    <w:link w:val="856"/>
    <w:uiPriority w:val="99"/>
    <w:unhideWhenUsed/>
    <w:pPr>
      <w:spacing w:before="120" w:after="120"/>
    </w:pPr>
  </w:style>
  <w:style w:type="paragraph" w:styleId="870">
    <w:name w:val="indent"/>
    <w:basedOn w:val="856"/>
    <w:next w:val="870"/>
    <w:link w:val="856"/>
    <w:pPr>
      <w:ind w:firstLine="708"/>
      <w:jc w:val="both"/>
      <w:spacing w:before="120" w:after="120"/>
    </w:pPr>
  </w:style>
  <w:style w:type="paragraph" w:styleId="871">
    <w:name w:val="indnomrg"/>
    <w:basedOn w:val="856"/>
    <w:next w:val="871"/>
    <w:link w:val="856"/>
    <w:pPr>
      <w:ind w:firstLine="708"/>
      <w:jc w:val="both"/>
    </w:pPr>
  </w:style>
  <w:style w:type="paragraph" w:styleId="872">
    <w:name w:val="nomrg"/>
    <w:basedOn w:val="856"/>
    <w:next w:val="872"/>
    <w:link w:val="856"/>
    <w:pPr>
      <w:jc w:val="both"/>
    </w:pPr>
  </w:style>
  <w:style w:type="paragraph" w:styleId="873">
    <w:name w:val="zagolovok6"/>
    <w:next w:val="873"/>
    <w:link w:val="856"/>
    <w:qFormat/>
    <w:rPr>
      <w:sz w:val="24"/>
      <w:szCs w:val="24"/>
      <w:lang w:val="ru-RU" w:eastAsia="ru-RU" w:bidi="ar-SA"/>
    </w:rPr>
  </w:style>
  <w:style w:type="paragraph" w:styleId="874">
    <w:name w:val="Нижний колонтитул"/>
    <w:basedOn w:val="856"/>
    <w:next w:val="874"/>
    <w:link w:val="875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75">
    <w:name w:val="Нижний колонтитул Знак"/>
    <w:next w:val="875"/>
    <w:link w:val="874"/>
    <w:uiPriority w:val="99"/>
    <w:rPr>
      <w:rFonts w:eastAsia="Times New Roman"/>
      <w:sz w:val="24"/>
      <w:szCs w:val="24"/>
    </w:rPr>
  </w:style>
  <w:style w:type="character" w:styleId="876" w:default="1">
    <w:name w:val="Default Paragraph Font"/>
    <w:uiPriority w:val="1"/>
    <w:semiHidden/>
    <w:unhideWhenUsed/>
  </w:style>
  <w:style w:type="numbering" w:styleId="877" w:default="1">
    <w:name w:val="No List"/>
    <w:uiPriority w:val="99"/>
    <w:semiHidden/>
    <w:unhideWhenUsed/>
  </w:style>
  <w:style w:type="table" w:styleId="878" w:default="1">
    <w:name w:val="Normal Table"/>
    <w:uiPriority w:val="99"/>
    <w:semiHidden/>
    <w:unhideWhenUsed/>
    <w:tblPr/>
  </w:style>
  <w:style w:type="paragraph" w:styleId="879" w:customStyle="1">
    <w:name w:val="Normal (Web)"/>
    <w:uiPriority w:val="99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20" w:beforeAutospacing="0" w:after="12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_956" w:customStyle="1">
    <w:name w:val="Обычный1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image" Target="media/image3.png"/><Relationship Id="rId13" Type="http://schemas.openxmlformats.org/officeDocument/2006/relationships/image" Target="media/image4.png"/><Relationship Id="rId14" Type="http://schemas.openxmlformats.org/officeDocument/2006/relationships/image" Target="media/image5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об оценке имущества гражданина</dc:title>
  <dc:creator>Kalining</dc:creator>
  <cp:lastModifiedBy>alesh</cp:lastModifiedBy>
  <cp:revision>5</cp:revision>
  <dcterms:created xsi:type="dcterms:W3CDTF">2026-01-20T13:44:00Z</dcterms:created>
  <dcterms:modified xsi:type="dcterms:W3CDTF">2026-03-29T09:12:27Z</dcterms:modified>
  <cp:version>1048576</cp:version>
</cp:coreProperties>
</file>