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jc w:val="right"/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 xml:space="preserve">Арбитражный суд  Воронежской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2"/>
                <w:szCs w:val="22"/>
              </w:rPr>
              <w:t xml:space="preserve">Сашниковой</w:t>
            </w:r>
            <w:r>
              <w:rPr>
                <w:sz w:val="22"/>
                <w:szCs w:val="22"/>
              </w:rPr>
              <w:t xml:space="preserve"> Анны Викторовны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Газизовой</w:t>
            </w:r>
            <w:r>
              <w:rPr>
                <w:sz w:val="24"/>
                <w:szCs w:val="24"/>
              </w:rPr>
              <w:t xml:space="preserve"> Натальи Андреевны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имущества  </w:t>
      </w:r>
      <w:r>
        <w:rPr>
          <w:b/>
          <w:sz w:val="24"/>
          <w:szCs w:val="24"/>
        </w:rPr>
        <w:t xml:space="preserve">Сашниковой</w:t>
      </w:r>
      <w:r>
        <w:rPr>
          <w:b/>
          <w:sz w:val="24"/>
          <w:szCs w:val="24"/>
        </w:rPr>
        <w:t xml:space="preserve"> Анны Викторовны  </w:t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 и место рождения 13.04.1955 с. </w:t>
      </w:r>
      <w:r>
        <w:rPr>
          <w:sz w:val="22"/>
          <w:szCs w:val="22"/>
        </w:rPr>
        <w:t xml:space="preserve">Решетино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Торбеевского</w:t>
      </w:r>
      <w:r>
        <w:rPr>
          <w:sz w:val="22"/>
          <w:szCs w:val="22"/>
        </w:rPr>
        <w:t xml:space="preserve"> р-на Мордовии СНИЛС 041-529-820 42 ИНН 360100660712 место регистрации: 394036,Воронежская обл., с. Никольское, ул. Школьная, д. 39</w:t>
      </w:r>
      <w:r>
        <w:rPr>
          <w:sz w:val="22"/>
          <w:szCs w:val="22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</w:t>
            </w:r>
            <w:r>
              <w:t xml:space="preserve">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highlight w:val="yellow"/>
                    </w:rPr>
                  </w:pPr>
                  <w:r>
                    <w:t xml:space="preserve">Начальная цена, руб.</w:t>
                  </w:r>
                  <w:r>
                    <w:rPr>
                      <w:highlight w:val="yellow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Вид объекта: Земельный участок.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>
                    <w:t xml:space="preserve">Кадастровый номер: 36:01:0000000:6</w:t>
                  </w:r>
                  <w:r>
                    <w:t xml:space="preserve">7.</w:t>
                  </w:r>
                  <w:r/>
                </w:p>
                <w:p>
                  <w:r/>
                  <w:r/>
                </w:p>
                <w:p>
                  <w:pPr>
                    <w:jc w:val="center"/>
                  </w:pPr>
                  <w:r>
                    <w:t xml:space="preserve">Адрес: </w:t>
                  </w:r>
                  <w:r>
                    <w:t xml:space="preserve">Воронежская область, р-н Анненский</w:t>
                  </w:r>
                  <w:r>
                    <w:t xml:space="preserve"> ,</w:t>
                  </w:r>
                  <w:r>
                    <w:t xml:space="preserve"> восточная часть Анненского кадастрового района</w:t>
                  </w:r>
                  <w:r>
                    <w:t xml:space="preserve">.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>
                    <w:t xml:space="preserve">Площадь: 51655801</w:t>
                  </w:r>
                  <w:r>
                    <w:t xml:space="preserve">+/-</w:t>
                  </w:r>
                  <w:r>
                    <w:t xml:space="preserve">63131</w:t>
                  </w:r>
                  <w:r>
                    <w:t xml:space="preserve"> </w:t>
                  </w:r>
                  <w:r>
                    <w:t xml:space="preserve">(декларированная).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>
                    <w:t xml:space="preserve">Вид доля в праве: 1</w:t>
                  </w:r>
                  <w:r>
                    <w:t xml:space="preserve">/912</w:t>
                  </w:r>
                  <w:r>
                    <w:t xml:space="preserve">.  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>
                    <w:t xml:space="preserve">Категория земель: </w:t>
                  </w:r>
                  <w:r>
                    <w:t xml:space="preserve">Для сельскохозяйственного производства</w:t>
                  </w:r>
                  <w:r>
                    <w:t xml:space="preserve">.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 xml:space="preserve">1</w:t>
                  </w:r>
                  <w:r>
                    <w:rPr>
                      <w:lang w:val="en-US"/>
                    </w:rPr>
                    <w:t xml:space="preserve"> 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485 972</w:t>
                  </w:r>
                  <w:r>
                    <w:rPr>
                      <w:lang w:val="en-US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t xml:space="preserve"> </w:t>
            </w:r>
            <w:r>
              <w:t xml:space="preserve">Воронежская область, р-н Анненский</w:t>
            </w:r>
            <w:r>
              <w:t xml:space="preserve"> ,</w:t>
            </w:r>
            <w:r>
              <w:t xml:space="preserve"> восточная част</w:t>
            </w:r>
            <w:r>
              <w:t xml:space="preserve">ь Анненского кадастрового района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 89600091050.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</w:t>
            </w:r>
            <w:r>
              <w:t xml:space="preserve">вать продажу имущества в течение 15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</w:t>
            </w:r>
            <w:r>
              <w:t xml:space="preserve">управляющий </w:t>
            </w:r>
            <w:r>
              <w:t xml:space="preserve">Сашниковой</w:t>
            </w:r>
            <w:r>
              <w:t xml:space="preserve"> Анны Викторовн</w:t>
            </w:r>
            <w:r>
              <w:t xml:space="preserve">ы 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Газизова</w:t>
            </w:r>
            <w:r>
              <w:t xml:space="preserve"> Наталья Андреевна, действующий на основании решения Арбитражного суда </w:t>
            </w:r>
            <w:r/>
          </w:p>
          <w:p>
            <w:r>
              <w:rPr>
                <w:bCs/>
              </w:rPr>
              <w:t xml:space="preserve">Воронежской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от </w:t>
            </w:r>
            <w:r>
              <w:t xml:space="preserve">02.04.2025</w:t>
            </w:r>
            <w:r>
              <w:t xml:space="preserve"> </w:t>
            </w:r>
            <w:r>
              <w:t xml:space="preserve">г. по делу </w:t>
            </w:r>
            <w:r>
              <w:t xml:space="preserve">№А14-894/2025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</w:t>
            </w:r>
            <w:r>
              <w:t xml:space="preserve">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 163046, </w:t>
            </w:r>
            <w:r>
              <w:t xml:space="preserve">обл</w:t>
            </w:r>
            <w:r>
              <w:t xml:space="preserve"> Архангельская, г Архангельск, </w:t>
            </w:r>
            <w:r>
              <w:t xml:space="preserve">ул</w:t>
            </w:r>
            <w:r>
              <w:t xml:space="preserve"> Воск</w:t>
            </w:r>
            <w:r>
              <w:t xml:space="preserve">ресенская, д 59, этаж 2</w:t>
            </w:r>
            <w:r/>
          </w:p>
          <w:p>
            <w:r>
              <w:t xml:space="preserve">- адрес электронной почты: gazizova.natalya@internet.ru</w:t>
            </w:r>
            <w:r/>
          </w:p>
          <w:p>
            <w:r>
              <w:t xml:space="preserve">- контактный номер: 89600091050</w:t>
            </w:r>
            <w:r/>
          </w:p>
        </w:tc>
      </w:tr>
      <w:tr>
        <w:tblPrEx/>
        <w:trPr>
          <w:jc w:val="center"/>
          <w:trHeight w:val="731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в электронной форме на электронной площадке «</w:t>
            </w:r>
            <w:r>
              <w:rPr>
                <w:color w:val="000000"/>
                <w:sz w:val="20"/>
                <w:szCs w:val="20"/>
              </w:rPr>
              <w:t xml:space="preserve">Аукцион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PRO</w:t>
            </w:r>
            <w:bookmarkStart w:id="0" w:name="_GoBack"/>
            <w:r/>
            <w:bookmarkEnd w:id="0"/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8" w:tooltip="https://au-pro.ru/" w:history="1">
              <w:r>
                <w:rPr>
                  <w:rStyle w:val="818"/>
                  <w:sz w:val="20"/>
                  <w:szCs w:val="20"/>
                </w:rPr>
                <w:t xml:space="preserve">https://au-pro.ru/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</w:t>
            </w:r>
            <w:r>
              <w:t xml:space="preserve">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на </w:t>
            </w:r>
            <w:r>
              <w:t xml:space="preserve">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осуществляется по следующим реквизитам: </w:t>
            </w:r>
            <w:r/>
          </w:p>
          <w:p>
            <w:r>
              <w:t xml:space="preserve">Валюта получаемого перевода: Российский рубль (RUB)</w:t>
            </w:r>
            <w:r/>
            <w:r/>
          </w:p>
          <w:p>
            <w:r>
              <w:t xml:space="preserve">Банк получателя: АРХАНГЕЛЬСКОЕ ОТДЕЛЕНИЕ №8637 ПАО СБЕРБАНК Г. АРХАНГЕЛЬСК</w:t>
            </w:r>
            <w:r/>
            <w:r/>
          </w:p>
          <w:p>
            <w:r>
              <w:t xml:space="preserve">Получатель Сашникова Анна Викторовна</w:t>
            </w:r>
            <w:r/>
            <w:r/>
          </w:p>
          <w:p>
            <w:r>
              <w:t xml:space="preserve">БИК: 041117601</w:t>
            </w:r>
            <w:r/>
            <w:r/>
          </w:p>
          <w:p>
            <w:r>
              <w:t xml:space="preserve">Кор. счет: 30101810100000000601</w:t>
            </w:r>
            <w:r/>
            <w:r/>
          </w:p>
          <w:p>
            <w:r>
              <w:t xml:space="preserve">Расчетный счет: 40817810604001977484</w:t>
            </w:r>
            <w:r/>
            <w:r/>
          </w:p>
          <w:p>
            <w:r>
              <w:t xml:space="preserve">ИНН получателя: 7707083893</w:t>
            </w:r>
            <w:r/>
            <w:r/>
          </w:p>
          <w:p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Лот </w:t>
            </w:r>
            <w:r>
              <w:t xml:space="preserve">№ 1: </w:t>
            </w:r>
            <w:r>
              <w:rPr>
                <w:color w:val="000000"/>
              </w:rPr>
              <w:t xml:space="preserve">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</w:t>
            </w:r>
            <w:r>
              <w:rPr>
                <w:color w:val="000000"/>
                <w:sz w:val="20"/>
                <w:szCs w:val="20"/>
              </w:rPr>
              <w:t xml:space="preserve">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</w:t>
            </w:r>
            <w:r>
              <w:rPr>
                <w:color w:val="000000"/>
                <w:sz w:val="20"/>
                <w:szCs w:val="20"/>
              </w:rPr>
              <w:t xml:space="preserve">родажи имущества ("шаг аукциона");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</w:t>
            </w:r>
            <w:r>
              <w:rPr>
                <w:color w:val="000000"/>
                <w:sz w:val="20"/>
                <w:szCs w:val="20"/>
              </w:rPr>
              <w:t xml:space="preserve">дрес электронной почты заявителя;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</w:t>
            </w:r>
            <w:r>
              <w:rPr>
                <w:color w:val="000000"/>
                <w:sz w:val="20"/>
                <w:szCs w:val="20"/>
              </w:rPr>
              <w:t xml:space="preserve">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</w:t>
            </w:r>
            <w:r>
              <w:rPr>
                <w:color w:val="000000"/>
                <w:sz w:val="20"/>
                <w:szCs w:val="20"/>
              </w:rPr>
              <w:t xml:space="preserve">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</w:t>
            </w:r>
            <w:r>
              <w:rPr>
                <w:color w:val="000000"/>
                <w:sz w:val="20"/>
                <w:szCs w:val="20"/>
              </w:rPr>
              <w:t xml:space="preserve">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</w:t>
            </w:r>
            <w:r>
              <w:rPr>
                <w:color w:val="000000"/>
                <w:sz w:val="20"/>
                <w:szCs w:val="20"/>
              </w:rPr>
              <w:t xml:space="preserve">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</w:t>
            </w:r>
            <w:r>
              <w:rPr>
                <w:color w:val="000000"/>
                <w:sz w:val="20"/>
                <w:szCs w:val="20"/>
              </w:rPr>
              <w:t xml:space="preserve">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</w:t>
            </w:r>
            <w:r>
              <w:rPr>
                <w:color w:val="000000"/>
              </w:rPr>
              <w:t xml:space="preserve"> программно-аппаратных средств сайта авто</w:t>
            </w:r>
            <w:r>
              <w:rPr>
                <w:color w:val="000000"/>
              </w:rPr>
              <w:t xml:space="preserve">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окончания с</w:t>
            </w:r>
            <w:r>
              <w:rPr>
                <w:color w:val="000000"/>
                <w:sz w:val="20"/>
                <w:szCs w:val="20"/>
              </w:rPr>
              <w:t xml:space="preserve">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</w:t>
            </w:r>
            <w:r>
              <w:rPr>
                <w:color w:val="000000"/>
                <w:sz w:val="20"/>
                <w:szCs w:val="20"/>
              </w:rPr>
              <w:t xml:space="preserve">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</w:t>
            </w:r>
            <w:r>
              <w:rPr>
                <w:color w:val="000000"/>
                <w:sz w:val="20"/>
                <w:szCs w:val="20"/>
              </w:rPr>
              <w:t xml:space="preserve">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</w:t>
            </w:r>
            <w:r>
              <w:rPr>
                <w:color w:val="000000"/>
                <w:sz w:val="20"/>
                <w:szCs w:val="20"/>
              </w:rPr>
              <w:t xml:space="preserve">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</w:t>
            </w:r>
            <w:r>
              <w:rPr>
                <w:color w:val="000000"/>
                <w:sz w:val="20"/>
                <w:szCs w:val="20"/>
              </w:rPr>
              <w:t xml:space="preserve">ообщение о признании заявителя участником торгов или об отказе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признании</w:t>
            </w:r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участию в торгах допускаются заявители, представившие заявки на уча</w:t>
            </w:r>
            <w:r>
              <w:rPr>
                <w:color w:val="000000"/>
                <w:sz w:val="20"/>
                <w:szCs w:val="20"/>
              </w:rPr>
              <w:t xml:space="preserve">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</w:t>
            </w:r>
            <w:r>
              <w:rPr>
                <w:color w:val="000000"/>
                <w:sz w:val="20"/>
                <w:szCs w:val="20"/>
              </w:rPr>
              <w:t xml:space="preserve">нимается в случае,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</w:t>
            </w:r>
            <w:r>
              <w:rPr>
                <w:color w:val="000000"/>
              </w:rPr>
              <w:t xml:space="preserve">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r>
              <w:rPr>
                <w:color w:val="000000"/>
                <w:sz w:val="20"/>
                <w:szCs w:val="20"/>
              </w:rPr>
              <w:t xml:space="preserve">заявляются</w:t>
            </w:r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</w:t>
            </w:r>
            <w:r>
              <w:rPr>
                <w:color w:val="000000"/>
                <w:sz w:val="20"/>
                <w:szCs w:val="20"/>
              </w:rPr>
              <w:t xml:space="preserve">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</w:t>
            </w:r>
            <w:r>
              <w:rPr>
                <w:color w:val="000000"/>
                <w:sz w:val="20"/>
                <w:szCs w:val="20"/>
              </w:rPr>
              <w:t xml:space="preserve">аукциона".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</w:t>
            </w:r>
            <w:r>
              <w:rPr>
                <w:color w:val="000000"/>
                <w:sz w:val="20"/>
                <w:szCs w:val="20"/>
              </w:rPr>
              <w:t xml:space="preserve">В случае поступления предложения о цене в течение одного часа с момента начала представления предложений о цене</w:t>
            </w:r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</w:t>
            </w:r>
            <w:r>
              <w:rPr>
                <w:color w:val="000000"/>
                <w:sz w:val="20"/>
                <w:szCs w:val="20"/>
              </w:rPr>
              <w:t xml:space="preserve">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</w:t>
            </w:r>
            <w:r>
              <w:rPr>
                <w:color w:val="000000"/>
                <w:sz w:val="20"/>
                <w:szCs w:val="20"/>
              </w:rPr>
              <w:t xml:space="preserve">ения торгов с помощью программно-аппаратных средств сайта предложение о цене в момент его поступления отклоняется </w:t>
            </w:r>
            <w:r>
              <w:rPr>
                <w:color w:val="000000"/>
                <w:sz w:val="20"/>
                <w:szCs w:val="20"/>
              </w:rPr>
              <w:t xml:space="preserve">с направлением лицу уведомления об отказе в приеме его предложения с указанием причин отказа в случае</w:t>
            </w:r>
            <w:r>
              <w:rPr>
                <w:color w:val="000000"/>
                <w:sz w:val="20"/>
                <w:szCs w:val="20"/>
              </w:rPr>
              <w:t xml:space="preserve">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</w:t>
            </w:r>
            <w:r>
              <w:rPr>
                <w:color w:val="000000"/>
                <w:sz w:val="20"/>
                <w:szCs w:val="20"/>
              </w:rP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</w:t>
            </w:r>
            <w:r>
              <w:rPr>
                <w:color w:val="000000"/>
                <w:sz w:val="20"/>
                <w:szCs w:val="20"/>
              </w:rPr>
              <w:t xml:space="preserve">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</w:t>
            </w:r>
            <w:r>
              <w:rPr>
                <w:color w:val="000000"/>
                <w:sz w:val="20"/>
                <w:szCs w:val="20"/>
              </w:rPr>
              <w:t xml:space="preserve">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</w:t>
            </w:r>
            <w:r>
              <w:rPr>
                <w:color w:val="000000"/>
                <w:sz w:val="20"/>
                <w:szCs w:val="20"/>
              </w:rPr>
              <w:t xml:space="preserve">и протокола.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</w:t>
            </w:r>
            <w:r>
              <w:rPr>
                <w:color w:val="000000"/>
                <w:sz w:val="20"/>
                <w:szCs w:val="20"/>
              </w:rPr>
              <w:t xml:space="preserve">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r>
              <w:rPr>
                <w:color w:val="000000"/>
                <w:sz w:val="20"/>
                <w:szCs w:val="20"/>
              </w:rPr>
              <w:t xml:space="preserve">на участие в торгах при отсутствии зая</w:t>
            </w:r>
            <w:r>
              <w:rPr>
                <w:color w:val="000000"/>
                <w:sz w:val="20"/>
                <w:szCs w:val="20"/>
              </w:rPr>
              <w:t xml:space="preserve">вок на участие в торгах</w:t>
            </w:r>
            <w:r>
              <w:rPr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</w:t>
            </w:r>
            <w:r>
              <w:rPr>
                <w:color w:val="000000"/>
                <w:sz w:val="20"/>
                <w:szCs w:val="20"/>
              </w:rPr>
              <w:t xml:space="preserve">ированной электронной подписью и направляет оператору электронной площадки поступившее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</w:t>
            </w:r>
            <w:r>
              <w:rPr>
                <w:color w:val="000000"/>
                <w:sz w:val="20"/>
                <w:szCs w:val="20"/>
              </w:rPr>
              <w:t xml:space="preserve">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</w:t>
            </w:r>
            <w:r>
              <w:rPr>
                <w:color w:val="000000"/>
                <w:sz w:val="20"/>
                <w:szCs w:val="20"/>
              </w:rPr>
              <w:t xml:space="preserve">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</w:t>
            </w:r>
            <w:r>
              <w:rPr>
                <w:color w:val="000000"/>
              </w:rPr>
              <w:t xml:space="preserve">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утверждения</w:t>
            </w:r>
            <w:r>
              <w:rPr>
                <w:color w:val="000000"/>
                <w:sz w:val="20"/>
                <w:szCs w:val="20"/>
              </w:rPr>
              <w:t xml:space="preserve"> прото</w:t>
            </w:r>
            <w:r>
              <w:rPr>
                <w:color w:val="000000"/>
                <w:sz w:val="20"/>
                <w:szCs w:val="20"/>
              </w:rPr>
              <w:t xml:space="preserve">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</w:t>
            </w:r>
            <w:r>
              <w:rPr>
                <w:color w:val="000000"/>
                <w:sz w:val="20"/>
                <w:szCs w:val="20"/>
              </w:rPr>
              <w:t xml:space="preserve">ущества должен быть заключен 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получения</w:t>
            </w:r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</w:t>
            </w:r>
            <w:r>
              <w:rPr>
                <w:color w:val="000000"/>
                <w:sz w:val="20"/>
                <w:szCs w:val="20"/>
              </w:rPr>
              <w:t xml:space="preserve">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</w:t>
            </w:r>
            <w:r>
              <w:rPr>
                <w:color w:val="000000"/>
              </w:rPr>
              <w:t xml:space="preserve">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</w:t>
            </w:r>
            <w:r>
              <w:rPr>
                <w:color w:val="000000"/>
              </w:rPr>
              <w:t xml:space="preserve">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Победитель торгов перечисляет денежн</w:t>
            </w:r>
            <w:r>
              <w:t xml:space="preserve">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Валюта получаемого перевода: Российский рубль (RUB)</w:t>
            </w:r>
            <w:r/>
          </w:p>
          <w:p>
            <w:r>
              <w:t xml:space="preserve">Банк получателя: АРХАНГЕЛЬСКОЕ ОТДЕЛЕНИЕ №8637 ПАО СБЕРБАНК Г. АРХАНГЕЛЬСК</w:t>
            </w:r>
            <w:r/>
          </w:p>
          <w:p>
            <w:r>
              <w:t xml:space="preserve">Получатель Сашникова Анна Викторовна</w:t>
            </w:r>
            <w:r/>
          </w:p>
          <w:p>
            <w:r>
              <w:t xml:space="preserve">БИК: 041117601</w:t>
            </w:r>
            <w:r/>
          </w:p>
          <w:p>
            <w:r>
              <w:t xml:space="preserve">Кор. счет: 30101810100000000601</w:t>
            </w:r>
            <w:r/>
          </w:p>
          <w:p>
            <w:r>
              <w:t xml:space="preserve">Расчетный счет: 40817810604001977484</w:t>
            </w:r>
            <w:r/>
          </w:p>
          <w:p>
            <w:r>
              <w:t xml:space="preserve">ИНН получателя: 7707083893</w:t>
            </w:r>
            <w:r/>
            <w:r/>
          </w:p>
          <w:p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</w:t>
            </w:r>
            <w:r>
              <w:t xml:space="preserve">ление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Обязательными условиями договора купли-продажи имущества являются:</w:t>
            </w:r>
            <w:r/>
          </w:p>
          <w:p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r>
              <w:t xml:space="preserve">цена продажи имущества;</w:t>
            </w:r>
            <w:r/>
          </w:p>
          <w:p>
            <w:r>
              <w:t xml:space="preserve">порядок и срок передачи имущества покупателю;</w:t>
            </w:r>
            <w:r/>
          </w:p>
          <w:p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818"/>
                  <w:color w:val="000000"/>
                  <w:u w:val="none"/>
                </w:rPr>
                <w:t xml:space="preserve">законодательством</w:t>
              </w:r>
            </w:hyperlink>
            <w: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В случае признания торгов несостоявшимися и </w:t>
            </w:r>
            <w:r>
              <w:t xml:space="preserve">незаключения</w:t>
            </w:r>
            <w:r>
              <w:t xml:space="preserve"> договора купли-продажи с единственным участником торгов, а также в случае </w:t>
            </w:r>
            <w:r>
              <w:t xml:space="preserve">незаключения</w:t>
            </w:r>
            <w:r>
              <w:t xml:space="preserve"> договора купли-продажи имущес</w:t>
            </w:r>
            <w:r>
              <w:t xml:space="preserve">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</w:t>
            </w:r>
            <w:r>
              <w:t xml:space="preserve">чения договора купли-продажи имущества по результатам торгов, принимает решение</w:t>
            </w:r>
            <w:r>
              <w:t xml:space="preserve"> о проведении повторных торгов и об установлении начальной цены продажи имущества.</w:t>
            </w:r>
            <w:r/>
          </w:p>
          <w:p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t xml:space="preserve">Началь</w:t>
            </w:r>
            <w:r>
              <w:t xml:space="preserve">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r>
              <w:rPr>
                <w:color w:val="000000"/>
                <w:sz w:val="20"/>
                <w:szCs w:val="20"/>
              </w:rPr>
              <w:t xml:space="preserve">незаключения</w:t>
            </w:r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</w:t>
            </w:r>
            <w:r>
              <w:rPr>
                <w:color w:val="000000"/>
                <w:sz w:val="20"/>
                <w:szCs w:val="20"/>
              </w:rPr>
              <w:t xml:space="preserve">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</w:t>
            </w:r>
            <w:r>
              <w:rPr>
                <w:color w:val="000000"/>
                <w:sz w:val="20"/>
                <w:szCs w:val="20"/>
              </w:rPr>
              <w:t xml:space="preserve">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>
              <w:rPr>
                <w:color w:val="000000"/>
                <w:sz w:val="20"/>
                <w:szCs w:val="20"/>
              </w:rPr>
              <w:t xml:space="preserve">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</w:t>
            </w:r>
            <w:r>
              <w:rPr>
                <w:color w:val="000000"/>
                <w:sz w:val="20"/>
                <w:szCs w:val="20"/>
              </w:rPr>
              <w:t xml:space="preserve">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</w:t>
            </w:r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r>
              <w:rPr>
                <w:color w:val="000000"/>
                <w:sz w:val="20"/>
                <w:szCs w:val="20"/>
              </w:rPr>
              <w:t xml:space="preserve">участников торгов, проводимых в форме публичного предложения осуществляется</w:t>
            </w:r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</w:t>
            </w:r>
            <w:r>
              <w:rPr>
                <w:color w:val="000000"/>
                <w:sz w:val="20"/>
                <w:szCs w:val="20"/>
              </w:rPr>
              <w:t xml:space="preserve">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</w:t>
      </w:r>
      <w:r>
        <w:t xml:space="preserve">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r>
        <w:t xml:space="preserve">, программным, лингвистическим, прав</w:t>
      </w:r>
      <w:r>
        <w:t xml:space="preserve">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</w:t>
      </w:r>
      <w:r>
        <w:t xml:space="preserve">г. N 178 и признании утратившими силу некоторых приказов Минэкономразвития России».</w:t>
      </w:r>
      <w:r/>
    </w:p>
    <w:p>
      <w:pPr>
        <w:pStyle w:val="83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textDirection w:val="lrTb"/>
            <w:noWrap w:val="false"/>
          </w:tcPr>
          <w:p>
            <w:r/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Сашниковой</w:t>
            </w:r>
            <w:r>
              <w:rPr>
                <w:b/>
                <w:sz w:val="22"/>
                <w:szCs w:val="22"/>
              </w:rPr>
              <w:t xml:space="preserve"> Анны Викторовны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textDirection w:val="lrTb"/>
            <w:noWrap w:val="false"/>
          </w:tcPr>
          <w:p>
            <w:pPr>
              <w:pStyle w:val="8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r>
              <w:rPr>
                <w:sz w:val="20"/>
                <w:szCs w:val="20"/>
              </w:rPr>
              <w:t xml:space="preserve">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9"/>
    <w:uiPriority w:val="99"/>
    <w:rPr>
      <w:sz w:val="18"/>
    </w:rPr>
  </w:style>
  <w:style w:type="character" w:styleId="180">
    <w:name w:val="Endnote Text Char"/>
    <w:link w:val="822"/>
    <w:uiPriority w:val="99"/>
    <w:rPr>
      <w:sz w:val="20"/>
    </w:rPr>
  </w:style>
  <w:style w:type="paragraph" w:styleId="654" w:default="1">
    <w:name w:val="Normal"/>
    <w:qFormat/>
    <w:pPr>
      <w:widowControl w:val="off"/>
    </w:pPr>
    <w:rPr>
      <w:rFonts w:ascii="Times New Roman" w:hAnsi="Times New Roman" w:eastAsia="Times New Roman"/>
      <w:lang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69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665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4"/>
    <w:next w:val="654"/>
    <w:uiPriority w:val="99"/>
    <w:unhideWhenUsed/>
  </w:style>
  <w:style w:type="paragraph" w:styleId="836" w:customStyle="1">
    <w:name w:val="Обычный1"/>
    <w:rPr>
      <w:rFonts w:ascii="Times New Roman" w:hAnsi="Times New Roman" w:eastAsia="Times New Roman"/>
      <w:lang w:eastAsia="ru-RU"/>
    </w:rPr>
  </w:style>
  <w:style w:type="paragraph" w:styleId="837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38">
    <w:name w:val="Normal (Web)"/>
    <w:basedOn w:val="654"/>
    <w:uiPriority w:val="99"/>
    <w:pPr>
      <w:spacing w:before="240" w:after="240"/>
      <w:widowControl/>
    </w:pPr>
    <w:rPr>
      <w:sz w:val="24"/>
      <w:szCs w:val="24"/>
    </w:rPr>
  </w:style>
  <w:style w:type="paragraph" w:styleId="839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u-pro.ru/" TargetMode="Externa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4</cp:revision>
  <dcterms:created xsi:type="dcterms:W3CDTF">2026-03-02T13:46:00Z</dcterms:created>
  <dcterms:modified xsi:type="dcterms:W3CDTF">2026-05-05T11:35:05Z</dcterms:modified>
  <cp:version>1048576</cp:version>
</cp:coreProperties>
</file>