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 xml:space="preserve">Первомайский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19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марта</w:t>
      </w:r>
      <w:r>
        <w:rPr>
          <w:rFonts w:ascii="Times New Roman" w:hAnsi="Times New Roman"/>
          <w:sz w:val="24"/>
          <w:szCs w:val="24"/>
        </w:rPr>
        <w:t xml:space="preserve">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Финансовый управляющий Фомичева Николая Владимировича (дата рождения: 16.04.1976, место рождения: ст. Донгузская Оренбургский р-н Оренбургская обл., СНИЛС: 048-432-789 80, ИНН: 563801304304, место регистрации: 460540, Оренбургская обл, Оренбургский р-н, п. </w:t>
      </w:r>
      <w:r>
        <w:rPr>
          <w:rFonts w:ascii="Times New Roman" w:hAnsi="Times New Roman"/>
          <w:sz w:val="24"/>
          <w:szCs w:val="24"/>
        </w:rPr>
        <w:t xml:space="preserve">Первомайский, пр-д Магистральный, д. 1, кв. 1) Газизова Наталья Андреевна, действующая на основании Решения Арбитражного суда Оренбургской области от 05.03.2025 г. (резолютивная часть объявлена 05.03.2025 г.) по делу № А47-661/2025, именуемая в дальнейшем «</w:t>
      </w:r>
      <w:r>
        <w:rPr>
          <w:rFonts w:ascii="Times New Roman" w:hAnsi="Times New Roman"/>
          <w:sz w:val="24"/>
          <w:szCs w:val="24"/>
        </w:rPr>
        <w:t xml:space="preserve">Организатор торгов»,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Фомичева Николая Владимировича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</w:t>
      </w:r>
      <w:r>
        <w:rPr>
          <w:rFonts w:ascii="Times New Roman" w:hAnsi="Times New Roman"/>
          <w:sz w:val="24"/>
          <w:szCs w:val="24"/>
        </w:rPr>
        <w:t xml:space="preserve">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</w:t>
      </w:r>
      <w:r>
        <w:rPr>
          <w:rFonts w:ascii="Times New Roman" w:hAnsi="Times New Roman"/>
          <w:sz w:val="24"/>
          <w:szCs w:val="24"/>
        </w:rPr>
        <w:t xml:space="preserve">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Фомичева Николая Владимировича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Оренбургской области</w:t>
      </w:r>
      <w:r/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Фомичева Николая Владимировича 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9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0">
    <w:name w:val="Основной шрифт абзаца"/>
    <w:next w:val="620"/>
    <w:link w:val="619"/>
    <w:uiPriority w:val="1"/>
    <w:semiHidden/>
    <w:unhideWhenUsed/>
  </w:style>
  <w:style w:type="table" w:styleId="621">
    <w:name w:val="Обычная таблица"/>
    <w:next w:val="621"/>
    <w:link w:val="619"/>
    <w:uiPriority w:val="99"/>
    <w:semiHidden/>
    <w:unhideWhenUsed/>
    <w:tblPr/>
  </w:style>
  <w:style w:type="numbering" w:styleId="622">
    <w:name w:val="Нет списка"/>
    <w:next w:val="622"/>
    <w:link w:val="619"/>
    <w:uiPriority w:val="99"/>
    <w:semiHidden/>
    <w:unhideWhenUsed/>
  </w:style>
  <w:style w:type="paragraph" w:styleId="623">
    <w:name w:val="Абзац списка"/>
    <w:basedOn w:val="619"/>
    <w:next w:val="623"/>
    <w:link w:val="619"/>
    <w:uiPriority w:val="34"/>
    <w:qFormat/>
    <w:pPr>
      <w:contextualSpacing/>
      <w:ind w:left="720"/>
    </w:p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2025-12-26T10:22:00Z</dcterms:created>
  <dcterms:modified xsi:type="dcterms:W3CDTF">2026-03-17T14:35:32Z</dcterms:modified>
  <cp:version>1048576</cp:version>
</cp:coreProperties>
</file>