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«__»________2026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rna4bdc6cp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Андриановой Натальи Васильевны Немыкин Павел Владимирович, действующий на основании Решения Арбитражного суда Московской области от 11.12.24 по делу №А41-67522/24,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проводимых «__» _____________2026 г. на электронной площадке ООО «АукционПро», по продаже имущества Андриановой Натальи Васильевны и на основании Протокола по результатам торгов по продаже имущества Должника от «__»__________ 2026 г., Продавец обязуется передать, а Покупатель обязуется принять следующее имущество (далее – Имущество), принадлежащее на праве собственности Андриановой Натальи Васильевны (далее – Имущество), определенное, как лот №: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bookmarkStart w:colFirst="0" w:colLast="0" w:name="_heading=h.8azkfz215zdb" w:id="1"/>
      <w:bookmarkEnd w:id="1"/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Андриановой Натальи Васильевны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получатель - Андрианова Наталья Васильевна ИНН 540233530659,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40817810250220157524.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Немыкин/</w:t>
            </w:r>
          </w:p>
          <w:p w:rsidR="00000000" w:rsidDel="00000000" w:rsidP="00000000" w:rsidRDefault="00000000" w:rsidRPr="00000000" w14:paraId="0000003A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wkyS8vdx+gLbqGpZRJJrxreMA==">CgMxLjAyDmguY3JuYTRiZGM2Y3AyMg5oLjhhemtmejIxNXpkYjgAciExVUQ3Rm5Wb3VMM2JyZEdkOWl5ckFyT1lxa2RCbzZ2MC0=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