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____________2026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Финансовый управляющий Сатанова Артёма Кемайкина Ольга Олеговна, действующий на основании Решения Арбитражного суда Краснодарского края от 24.06.25 по делу №А32-27103/2025, именуемый в дальнейшем 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Покупатель»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г. на электронной площадке ООО «АукционПро», по продаже имущества Сатанова Артёма,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6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Сатанову Артёму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обременено залогом.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90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90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Сатанова Артёма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Кемайкина Ольга Олеговна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Сатанов Артём </w:t>
            </w:r>
          </w:p>
          <w:p w:rsidR="00000000" w:rsidDel="00000000" w:rsidP="00000000" w:rsidRDefault="00000000" w:rsidRPr="00000000" w14:paraId="0000002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723012658987, </w:t>
            </w:r>
          </w:p>
          <w:p w:rsidR="00000000" w:rsidDel="00000000" w:rsidP="00000000" w:rsidRDefault="00000000" w:rsidRPr="00000000" w14:paraId="0000002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40817810150205945754.</w:t>
            </w:r>
          </w:p>
          <w:p w:rsidR="00000000" w:rsidDel="00000000" w:rsidP="00000000" w:rsidRDefault="00000000" w:rsidRPr="00000000" w14:paraId="0000003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3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О.О. Кемайкина/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ph" w:customStyle="1">
    <w:name w:val="paragraph"/>
    <w:basedOn w:val="a0"/>
    <w:rsid w:val="007C70C4"/>
  </w:style>
  <w:style w:type="paragraph" w:styleId="a4">
    <w:name w:val="Body Text Indent"/>
    <w:basedOn w:val="a"/>
    <w:link w:val="a5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5" w:customStyle="1">
    <w:name w:val="Основной текст с отступом Знак"/>
    <w:basedOn w:val="a0"/>
    <w:link w:val="a4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ObRxdnslAoW7eeD83h0ORDH3fA==">CgMxLjA4AHIhMVV2cVFkd3VIUHU2bjBLQ0ZaZXUtVWhMVWlaQ095T0Js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