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2026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Васильевой Ольги Геннадьевны Немыкин Павел Владимирович, действующий на основании решения Арбитражного суда Томской области от 28.12.2023 по делу №А67-2871/2023 и определения Арбитражного суда Томской области от 25.12.2025 (резолютивная часть)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Васильевой Ольги Геннадьевны, проводимых на электронной торговой площадке ООО «АукционПро» в соответствии с сообщением № _____________ о проведении торгов, опубликованном в ЕФРСБ № ___ от «__»___________ 2026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Васильева Ольга Геннадьевна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421214565275,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40817810850206512088.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 Томской области.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cgtzbygnsw88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418"/>
              </w:tabs>
              <w:ind w:left="-105" w:right="-7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Васильевой Ольги Геннадьевны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418"/>
              </w:tabs>
              <w:ind w:left="-105" w:right="-7" w:firstLine="0"/>
              <w:rPr/>
            </w:pPr>
            <w:r w:rsidDel="00000000" w:rsidR="00000000" w:rsidRPr="00000000">
              <w:rPr>
                <w:rtl w:val="0"/>
              </w:rPr>
              <w:t xml:space="preserve">Немыкин Павел Владимирович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Васильева Ольга Геннадьевна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ИНН 421214565275, 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40817810850206512088.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B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П.В. Немыкин/</w:t>
            </w:r>
          </w:p>
          <w:p w:rsidR="00000000" w:rsidDel="00000000" w:rsidP="00000000" w:rsidRDefault="00000000" w:rsidRPr="00000000" w14:paraId="0000002E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15roMv8e3Sbu1ILuBAxjuiRmLw==">CgMxLjAyD2lkLmNndHpieWduc3c4ODgAciExRklPT0pZcTdXQ2dfai16QTRWTmNoV1NSRXFtb0lNUXY=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