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ZgSMpVAmu8TFKOJzs4/CrXrykxV2WeKt/R+6x+6GKtM=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BgQgPhcnXAyaAUr76KKYqOAGVjtNJNuD1HJMJXQ/7uE=</DigestValue>
    </Reference>
  </SignedInfo>
  <SignatureValue>PlfQUS5pd8oll7/CTDHkijLqTHFmuWR0PAJGr7q74NxDQE0TJn1RHGWyZSt60AQj
mH7jWkdd2iHcGeCHMb9vaA==</SignatureValue>
  <KeyInfo>
    <X509Data>
      <X509Certificate>MIIIVDCCCAGgAwIBAgIRAWlcxwApsoacRs/OR7IOZhYwCgYIKoUDBwEBAwIwggFB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VQQDDBzQntCe0J4gItCh0LXRgNGC0YPQvC3Qn9GA0L4iMB4XDTI0MTExNTExNTU1
MVoXDTI1MTEyNTEyMDU1MVowgdwxHjAcBgkqhkiG9w0BCQEWD3ZlbjA1MDdAbWFp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MGYwHwYIKoUDBwEBAQEwEwYHKoUDAgIkAAYIKoUDBwEBAgIDQwAEQBdyRKCgK9eu
3GyYcWG8AtjnvmFV2PzkPNroMABxAylXOFxBmU9lMZjRPCitHIg5f0zDjhmttgo1
5Jm9rza4mvSjggUtMIIFKTAMBgUqhQNkcgQDAgEBMA4GA1UdDwEB/wQEAwIE8DAa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MDI0MTExNTExNTU1MVqBDzIwMjUxMTI1MTIwNTUxWjCCATMGBSqFA2RwBIIBKDCC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LTQ3MTgg0L7RgiAxNS4wMS4yMDI0DE/QodC10YDRgtC40YTQuNC60LDRgiDRgdC+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dHVtLXByby0yMDIzLmNybDCCAXYGA1UdIwSCAW0wggFpgBRIghng4m1toOHZz15v
RfgpzriqVaGCAUOkggE/MIIBOzEhMB8GCSqGSIb3DQEJARYSZGl0QGRpZ2l0YWwu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ShnR+AAAAAAIUzAdBgNVHQ4EFgQUt1Q5VhxV1UnM0O6asj0ue9YrWBkwCgYIKoUD
BwEBAwIDQQDrKr4QoncAmUDGhY9gQ/dWRL4AOzUj7aS/SE5JyiJ8R70+JEn7sNiJ
/rHyLeN+6TXQmecELzn/HLvR3pLqhwEK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2025-11-05T08:07:06Z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2025-11-05T08:07:06Z</xd:SigningTime>
          <xd:SigningCertificate>
            <xd:Cert>
              <xd:CertDigest>
                <DigestMethod Algorithm="http://www.w3.org/2000/09/xmldsig#sha1"/>
                <DigestValue>VuGRAFmga5itqlaWE1ub9/5Tjt4=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480333034001755670820983375478620317206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