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«______»______________20____г.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5329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«АукционПро»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(-ый)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Предмет Договора</w:t>
      </w:r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электронной площадке АукционПро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 сети Интернет (далее по тексту – ЭТП АукционПро), в соответствии с Регламентом электронной площадки АукционПро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Порядок и сроки расчетов</w:t>
      </w:r>
    </w:p>
    <w:p w14:paraId="0E847CFA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C77E1B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C77E1B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C77E1B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C77E1B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C77E1B">
        <w:rPr>
          <w:rFonts w:ascii="Arial Narrow" w:hAnsi="Arial Narrow" w:cs="Times New Roman"/>
          <w:b/>
          <w:sz w:val="24"/>
          <w:szCs w:val="24"/>
        </w:rPr>
        <w:t xml:space="preserve">Получатель: ООО "АукционПро" ИНН/КПП 7734480699 / 773401001 </w:t>
      </w:r>
    </w:p>
    <w:p w14:paraId="1B295A7D" w14:textId="0AD67F2C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40702810300000010803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0F36EFFB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возвращается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Оператором ЭТП Заявителю, не являющемуся победителем торгов, при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наличии у Оператора банковских реквизитов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, необходимых для возврата денежных средств, в течение 5 (пяти) рабочих дней со дня подписания протокола о результатах торгов и получения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заявления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Организатора торгов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электронный адрес Оператора ЭТП </w:t>
      </w:r>
      <w:r w:rsidRPr="00C77E1B">
        <w:rPr>
          <w:rFonts w:ascii="Arial Narrow" w:hAnsi="Arial Narrow" w:cs="Times New Roman"/>
          <w:b w:val="0"/>
          <w:sz w:val="24"/>
          <w:szCs w:val="24"/>
        </w:rPr>
        <w:t>zadatok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 w:val="0"/>
          <w:sz w:val="24"/>
          <w:szCs w:val="24"/>
        </w:rPr>
        <w:t>au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 w:val="0"/>
          <w:sz w:val="24"/>
          <w:szCs w:val="24"/>
        </w:rPr>
        <w:t>pro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 w:val="0"/>
          <w:sz w:val="24"/>
          <w:szCs w:val="24"/>
        </w:rPr>
        <w:t>ru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в</w:t>
      </w:r>
      <w:r w:rsidRPr="00C77E1B">
        <w:rPr>
          <w:rFonts w:ascii="Arial Narrow" w:hAnsi="Arial Narrow" w:cs="Times New Roman"/>
          <w:b w:val="0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случаях:</w:t>
      </w:r>
    </w:p>
    <w:p w14:paraId="49A138B7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2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отзыва заявки на участие в торгах до окончания срока приема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заявок;</w:t>
      </w:r>
    </w:p>
    <w:p w14:paraId="490997BA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 решения Организатором торгов об отказе в допуске Заявителя к участию в</w:t>
      </w:r>
      <w:r w:rsidRPr="00C77E1B">
        <w:rPr>
          <w:rFonts w:ascii="Arial Narrow" w:hAnsi="Arial Narrow" w:cs="Times New Roman"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торгах;</w:t>
      </w:r>
    </w:p>
    <w:p w14:paraId="100E8CD8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признания торгов</w:t>
      </w:r>
      <w:r w:rsidRPr="00C77E1B">
        <w:rPr>
          <w:rFonts w:ascii="Arial Narrow" w:hAnsi="Arial Narrow" w:cs="Times New Roman"/>
          <w:spacing w:val="-16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несостоявшимися;</w:t>
      </w:r>
    </w:p>
    <w:p w14:paraId="193DFEE2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lastRenderedPageBreak/>
        <w:t>отмены</w:t>
      </w:r>
      <w:r w:rsidRPr="00C77E1B">
        <w:rPr>
          <w:rFonts w:ascii="Arial Narrow" w:hAnsi="Arial Narrow" w:cs="Times New Roman"/>
          <w:spacing w:val="-2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торгов.</w:t>
      </w:r>
    </w:p>
    <w:p w14:paraId="7A67D15B" w14:textId="77777777" w:rsidR="007A2DD5" w:rsidRPr="00C77E1B" w:rsidRDefault="007A2DD5" w:rsidP="007A2DD5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Возврат задатков с целью соблюдения требований Федерального закона №115-ФЗ осуществляется строго на </w:t>
      </w:r>
      <w:r w:rsidRPr="00C77E1B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 с которых был осуществлен перевод задатка на специальный счет Оператора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C77E1B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управляющим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законом №127-ФЗ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26.10.2002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г. «О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несостоятельности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(банкротстве)»;</w:t>
      </w:r>
    </w:p>
    <w:p w14:paraId="67E0F09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2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сроки;</w:t>
      </w:r>
    </w:p>
    <w:p w14:paraId="3B7B50A9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04D241E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C77E1B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C77E1B" w:rsidRDefault="007A2DD5" w:rsidP="007A2DD5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66ED9234" w14:textId="77777777" w:rsidR="007A2DD5" w:rsidRPr="00C77E1B" w:rsidRDefault="007A2DD5" w:rsidP="007A2DD5">
      <w:pPr>
        <w:pStyle w:val="a3"/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Прочие условия</w:t>
      </w:r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АукционПро</w:t>
      </w:r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«Контур.Диадок»,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При соблюдении указанных условий передаваемые по электронной почте графические файлы, содержащие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>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r w:rsidRPr="007D16F0">
              <w:rPr>
                <w:rFonts w:ascii="Arial Narrow" w:hAnsi="Arial Narrow" w:cs="Times New Roman"/>
                <w:b/>
              </w:rPr>
              <w:t>Заявитель: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подр.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"АукционПро"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9F17E6">
      <w:pPr>
        <w:rPr>
          <w:lang w:val="ru-RU"/>
        </w:rPr>
      </w:pPr>
    </w:p>
    <w:sectPr w:rsidR="00AF7CCB" w:rsidRPr="007A2DD5" w:rsidSect="00753760">
      <w:pgSz w:w="11910" w:h="16840"/>
      <w:pgMar w:top="500" w:right="711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6B617F"/>
    <w:rsid w:val="007A2DD5"/>
    <w:rsid w:val="00870215"/>
    <w:rsid w:val="009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7lZFVZ9GtnNXVqJE+Ic1ZQTbuh/hDIJhzGOf1e0G9X0=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m4LFkQ723q8D4k9fnUhok71XsdraehY2EzCXOev6+g0=</DigestValue>
    </Reference>
  </SignedInfo>
  <SignatureValue>h2c3S/N/qn+Sgk5M0Ldl1gpFKQh9xN/Mr7cu94aEBrH4RywHyjtQ3SOdCn4nd3XM
ss5qiUedPQiBUhT/LX3tWg==</SignatureValue>
  <KeyInfo>
    <X509Data>
      <X509Certificate>MIIK2TCCCoagAwIBAgIRApW1xAApsUiaSpKN5O5pIp0wCgYIKoUDBwEBAwIwggGA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MB4XDTI0MDMwNDExNDYxMloXDTM4MDQyODEzMTIxM1owggEqMSwwKgYDVQQIDCPQ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MghCNZHtYdNW+PyoPmddsFXZ6z4=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Ts/lVqNlZweb2ZEW+G49qmxCGvk=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2024-08-23T11:19:19Z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2024-08-23T11:19:19Z</xd:SigningTime>
          <xd:SigningCertificate>
            <xd:Cert>
              <xd:CertDigest>
                <DigestMethod Algorithm="http://www.w3.org/2000/09/xmldsig#sha1"/>
                <DigestValue>fxZ2JaF1Rys6Y/LleHEGaK3bWPc=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879563486310409719646889384809312363165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1479</Words>
  <Characters>8431</Characters>
  <Application>Microsoft Office Word</Application>
  <DocSecurity>0</DocSecurity>
  <Lines>70</Lines>
  <Paragraphs>19</Paragraphs>
  <ScaleCrop>false</ScaleCrop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u188</cp:lastModifiedBy>
  <cp:revision>2</cp:revision>
  <dcterms:created xsi:type="dcterms:W3CDTF">2024-01-31T21:19:00Z</dcterms:created>
  <dcterms:modified xsi:type="dcterms:W3CDTF">2024-07-31T11:43:00Z</dcterms:modified>
</cp:coreProperties>
</file>