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Финансовый управляющий Сивкова Александра Сергеевича Ахмедов Руслан Адамович, действующий на основании Решения Арбитражного суда Свердловской области от 06.11.2024 по делу №А60-56200/2024, именуемый в дальнейшем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Покупатель»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 По результатам открытых торгов в электронной форме, проводимых «__» _____________202_ г. на электронной площадке ООО «АукционПро», по продаже имущества Сивкова Александра Сергеевича,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Сивкову Александру Сергеевичу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Сивкова Александра Сергеевича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Сивков Александр Сергеевич 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662105979078,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rtl w:val="0"/>
              </w:rPr>
              <w:t xml:space="preserve">40817810650204622837.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Р.А. Ахмедов/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7C70C4"/>
  </w:style>
  <w:style w:type="paragraph" w:styleId="a4">
    <w:name w:val="Body Text Indent"/>
    <w:basedOn w:val="a"/>
    <w:link w:val="a5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5" w:customStyle="1">
    <w:name w:val="Основной текст с отступом Знак"/>
    <w:basedOn w:val="a0"/>
    <w:link w:val="a4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/aTOlyV6/tk/+9sJN57TfUIIA==">CgMxLjA4AHIhMUNVc0NQUEJmSjE5VW1Cc0VnUEo2UmpzU3dWMTViakds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