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7zI69XONx8SXcZV3DJqtmpjwDzUXmM4yoJV9lnWHHuE=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UDjLF0J4S+JHXPTDdR1JVtC75+vFkEJaS1DlmFBJs78=</DigestValue>
    </Reference>
  </SignedInfo>
  <SignatureValue>mGP/M9fUC2hjkU1TvKOH+go4F/3ZlV0AWyRZYkMGzEL7cFqWIUuiGEPhoLmN8cVB
8IA/2keqndHWnUfPmvEDCg==</SignatureValue>
  <KeyInfo>
    <X509Data>
      <X509Certificate>MIIKkDCCCj2gAwIBAgIQQamOAPuxe65OlaOlfCEmSzAKBggqhQMHAQEDAjCCAYAx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HhcNMjQwOTMwMDgyOTI1WhcNMzkwNjE5MTIyMDMzWjCB+TEZMBcGA1UECAwQ0LMu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2025-09-16T11:28:23Z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2025-09-16T11:28:23Z</xd:SigningTime>
          <xd:SigningCertificate>
            <xd:Cert>
              <xd:CertDigest>
                <DigestMethod Algorithm="http://www.w3.org/2000/09/xmldsig#sha1"/>
                <DigestValue>7zgoqWEhHbI0dS5WhclfPNHnmZk=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87280198075170937546872188750845257291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