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Садыковой Ляйсан Раилевны Грудева Екатерина Ивановна, действующий на основании Решения Арбитражного суда Республики Татарстан от 05.07.2023 по делу №А65-11168/2023,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Садыковой Ляйсан Раилевны,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Садыковой Ляйсан Раилевне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ind w:firstLine="900"/>
        <w:jc w:val="both"/>
        <w:rPr>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sz w:val="22"/>
          <w:szCs w:val="22"/>
        </w:rPr>
      </w:pPr>
      <w:r w:rsidDel="00000000" w:rsidR="00000000" w:rsidRPr="00000000">
        <w:rPr>
          <w:rtl w:val="0"/>
        </w:rPr>
      </w:r>
    </w:p>
    <w:p w:rsidR="00000000" w:rsidDel="00000000" w:rsidP="00000000" w:rsidRDefault="00000000" w:rsidRPr="00000000" w14:paraId="0000001D">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20">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3">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E">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1">
            <w:pPr>
              <w:rPr>
                <w:color w:val="000000"/>
                <w:sz w:val="22"/>
                <w:szCs w:val="22"/>
              </w:rPr>
            </w:pPr>
            <w:r w:rsidDel="00000000" w:rsidR="00000000" w:rsidRPr="00000000">
              <w:rPr>
                <w:color w:val="000000"/>
                <w:sz w:val="22"/>
                <w:szCs w:val="22"/>
                <w:rtl w:val="0"/>
              </w:rPr>
              <w:t xml:space="preserve">Садыковой Ляйсан Раилевны </w:t>
            </w:r>
          </w:p>
          <w:p w:rsidR="00000000" w:rsidDel="00000000" w:rsidP="00000000" w:rsidRDefault="00000000" w:rsidRPr="00000000" w14:paraId="00000032">
            <w:pPr>
              <w:rPr>
                <w:sz w:val="22"/>
                <w:szCs w:val="22"/>
              </w:rPr>
            </w:pPr>
            <w:r w:rsidDel="00000000" w:rsidR="00000000" w:rsidRPr="00000000">
              <w:rPr>
                <w:sz w:val="22"/>
                <w:szCs w:val="22"/>
                <w:rtl w:val="0"/>
              </w:rPr>
              <w:t xml:space="preserve">Грудева Екатерина Ивановна</w:t>
            </w:r>
          </w:p>
          <w:p w:rsidR="00000000" w:rsidDel="00000000" w:rsidP="00000000" w:rsidRDefault="00000000" w:rsidRPr="00000000" w14:paraId="00000033">
            <w:pPr>
              <w:rPr>
                <w:color w:val="000000"/>
                <w:sz w:val="22"/>
                <w:szCs w:val="22"/>
              </w:rPr>
            </w:pPr>
            <w:bookmarkStart w:colFirst="0" w:colLast="0" w:name="_heading=h.1zcipyo7jfky" w:id="0"/>
            <w:bookmarkEnd w:id="0"/>
            <w:r w:rsidDel="00000000" w:rsidR="00000000" w:rsidRPr="00000000">
              <w:rPr>
                <w:sz w:val="22"/>
                <w:szCs w:val="22"/>
                <w:rtl w:val="0"/>
              </w:rPr>
              <w:t xml:space="preserve">получатель - </w:t>
            </w:r>
            <w:r w:rsidDel="00000000" w:rsidR="00000000" w:rsidRPr="00000000">
              <w:rPr>
                <w:color w:val="000000"/>
                <w:sz w:val="22"/>
                <w:szCs w:val="22"/>
                <w:rtl w:val="0"/>
              </w:rPr>
              <w:t xml:space="preserve">Садыкова Ляйсан Раилевна </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ИНН 160502437116, </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р/с 40817810750192310889.</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8">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sz w:val="22"/>
                <w:szCs w:val="22"/>
                <w:rtl w:val="0"/>
              </w:rPr>
              <w:t xml:space="preserve">________________ / Е.И. Грудева/</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D">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5">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C70C4"/>
    <w:pPr>
      <w:suppressAutoHyphens w:val="1"/>
    </w:pPr>
    <w:rPr>
      <w:lang w:eastAsia="ar-SA"/>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paragraph" w:styleId="a7">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BSl3I9hmRiSxrr3bg23kPi/f3A==">CgMxLjAyDmguMXpjaXB5bzdqZmt5OAByITFESU4zNXdVMDNrM0tzYkhic3hkN29teUlHWlJBVmlKcQ==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