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01B5deLd3U1oPsgYvOJIP1LuDjm7PBPLPFk6eZ3VVzU=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TSqkhB4dmgUwtN8YSGTDf+XHfgLUmQ93Z2thAkXEj+Q=</DigestValue>
    </Reference>
  </SignedInfo>
  <SignatureValue>0YSII1l7KdT6icffvt8ynE7MudfWrc6skYzeXKPKWVXT4EH7cTlSM0Io8sPhWTyp
Qsoj81VmeiCr6lUu4dv3vw==</SignatureValue>
  <KeyInfo>
    <X509Data>
      <X509Certificate>MIIKoDCCCk2gAwIBAgIQbFazALyxBbxMoasxBMqSnDAKBggqhQMHAQEDAjCCAYAx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HhcNMjQwNzI5MTA0MjU3WhcNMzkwNjE5MTIyMDMzWjCB8jEZMBcGA1UECAwQ0LMu
INCc0L7RgdC60LLQsDELMAkGA1UEBhMCUlUxKjAoBgNVBCoMIdCc0LDQutGB0LjQ
vCDQktCw0LvQtdGA0LjQtdCy0LjRhzETMBEGA1UEBAwK0JHQtdC70L7QsjE1MDMG
A1UEAwws0JHQtdC70L7QsiDQnNCw0LrRgdC40Lwg0JLQsNC70LXRgNC40LXQstC4
0YcxHDAaBgkqhkiG9w0BCQEWDW1iZWxAaW5ib3gucnUxGjAYBggqhQMDgQMBARIM
NTAyNDk4NzAzOTYxMRYwFAYFKoUDZAMSCzA1NzE5MDM4NjcwMGYwHwYIKoUDBwEB
AQEwEwYHKoUDAgIkAAYIKoUDBwEBAgIDQwAEQJX4YmvOYzN0pVd+slrPC5NiKbCA
oyWPCwgXYiA7dG32aczWXD95z1e/Ao4g/WXk3g99vqvraTGCBj4LEkcM1Aajggcl
MIIHITAOBgNVHQ8BAf8EBAMCA/gwWgYDVR0lBFMwUQYHKoUDAgIiGQYHKoUDAgIi
GgYHKoUDAgIiBgYJKoUDAzoDAQEDBgkqhQMDOgMBAQUGCiqFAwUBGAIBAwEGCCsG
AQUFBwMCBggrBgEFBQcDBDAdBgNVHSAEFjAUMAgGBiqFA2RxATAIBgYqhQNkcQIw
DAYFKoUDZHIEAwIBATAuBgNVHREEJzAlpCMwITEfMB0GCSqGSIb3DQEJAhYQSU5O
PTUwMjQ5ODcwMzk2MTAhBgUqhQNkbwQYDBbQmtGA0LjQv9GC0L7Qn9GA0L4gQ1NQ
MIIBxwYIKwYBBQUHAQEEggG5MIIBtTBGBggrBgEFBQcwAYY6aHR0cDovL3RheDQu
dGVuc29yLnJ1L29jc3AtdGVuc29yY2EtMjAyNF9nb3N0MjAxMi9vY3NwLnNyZjBe
BggrBgEFBQcwAoZSaHR0cDovL3RheDQudGVuc29yLnJ1L3RlbnNvcmNhLTIwMjRf
Z29zdDIwMTIvY2VydGVucm9sbC90ZW5zb3JjYS0yMDI0X2dvc3QyMDEyLmNydDA6
BggrBgEFBQcwAoYuaHR0cDovL3RlbnNvci5ydS9jYS90ZW5zb3JjYS0yMDI0X2dv
c3QyMDEyLmNydDBDBggrBgEFBQcwAoY3aHR0cDovL2NybC50ZW5zb3IucnUvdGF4
NC9jYS90ZW5zb3JjYS0yMDI0X2dvc3QyMDEyLmNydDBEBggrBgEFBQcwAoY4aHR0
cDovL2NybDIudGVuc29yLnJ1L3RheDQvY2EvdGVuc29yY2EtMjAyNF9nb3N0MjAx
Mi5jcnQwRAYIKwYBBQUHMAKGOGh0dHA6Ly9jcmwzLnRlbnNvci5ydS90YXg0L2Nh
L3RlbnNvcmNhLTIwMjRfZ29zdDIwMTIuY3J0MCsGA1UdEAQkMCKADzIwMjQwNzI5
MTA0MjU2WoEPMjAyNTA3MjkxMDQyNTZaMIIBNAYFKoUDZHAEggEpMIIBJQwrItCa
0YDQuNC/0YLQvtCf0YDQviBDU1AiICjQstC10YDRgdC40Y8gNC4wKQxTItCj0LTQ
vtGB0YLQvtCy0LXRgNGP0Y7RidC40Lkg0YbQtdC90YLRgCAi0JrRgNC40L/RgtC+
0J/RgNC+INCj0KYiINCy0LXRgNGB0LjQuCAyLjAMT9Ch0LXRgNGC0LjRhNC40LrQ
sNGCINGB0L7QvtGC0LLQtdGC0YHRgtCy0LjRjyDihJYg0KHQpC8xMjQtNDcxMiDQ
vtGCIDE1LjAxLjIwMjQMUNCh0LXRgNGC0LjRhNC40LrQsNGCINGB0L7QvtGC0LLQ
tdGC0YHRgtCy0LjRjyAg4oSWINCh0KQvMTI4LTQyNzAg0L7RgiAxMy4wNy4yMDIy
MIIBaAYDVR0fBIIBXzCCAVswWKBWoFSGUmh0dHA6Ly90YXg0LnRlbnNvci5ydS90
ZW5zb3JjYS0yMDI0X2dvc3QyMDEyL2NlcnRlbnJvbGwvdGVuc29yY2EtMjAyNF9n
b3N0MjAxMi5jcmwwNKAyoDCGLmh0dHA6Ly90ZW5zb3IucnUvY2EvdGVuc29yY2Et
MjAyNF9nb3N0MjAxMi5jcmwwQaA/oD2GO2h0dHA6Ly9jcmwudGVuc29yLnJ1L3Rh
eDQvY2EvY3JsL3RlbnNvcmNhLTIwMjRfZ29zdDIwMTIuY3JsMEKgQKA+hjxodHRw
Oi8vY3JsMi50ZW5zb3IucnUvdGF4NC9jYS9jcmwvdGVuc29yY2EtMjAyNF9nb3N0
MjAxMi5jcmwwQqBAoD6GPGh0dHA6Ly9jcmwzLnRlbnNvci5ydS90YXg0L2NhL2Ny
bC90ZW5zb3JjYS0yMDI0X2dvc3QyMDEyLmNybDCCAXYGA1UdIwSCAW0wggFpgBSr
oZADds4wZsJ8RtVRIYJvGnLcOKGCAUOkggE/MIIBOzEhMB8GCSqGSIb3DQEJARYS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0L7RgdGB0LjQuIIKYEtR7wAAAAAJozAdBgNVHQ4EFgQUIg7T5BeC/FWY/afPmupY
q4aDrBgwCgYIKoUDBwEBAwIDQQD3jpMHWuVyEQMYLyWkphmAiwQ2xj/fBB1z6o0Q
Amyyv3xdUWQBCaiR9euB0OBIpO84woAV4TZB9+TqnFeMDDoh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2025-05-22T11:53:03Z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2025-05-22T11:53:03Z</xd:SigningTime>
          <xd:SigningCertificate>
            <xd:Cert>
              <xd:CertDigest>
                <DigestMethod Algorithm="http://www.w3.org/2000/09/xmldsig#sha1"/>
                <DigestValue>UwTAL2p5jvTN/am3gZidowfq1jc=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144006791684321151900497517087529013916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