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Бянкина Юрия Николаевича Соловьева Ольга Валентиновна, действующий на основании Решения Арбитражного суда Амурской области от 14.02.2024 по делу №А04-24/2024 и определения Арбитражного суда Амурской области от 28.05.2024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Бянкина Юрия Николаевича, проводимых на электронной торговой площадке ООО «АукционПро»,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Бянкин Юрий Николаевич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281900365852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C">
      <w:pPr>
        <w:rPr>
          <w:color w:val="2c2d2e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40817810550190470688.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Амурской области.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Бянкина Юрия Николаевича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Соловьева Ольга Валентиновна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Бянкин Юрий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281900365852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8">
            <w:pPr>
              <w:rPr>
                <w:color w:val="2c2d2e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40817810550190470688.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О.В. Соловьева/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goea48uocBU07mNfVlXNPIqbw==">CgMxLjAyCWlkLmdqZGd4czgAciExaVExaVJJUXJWVFB2alV5dUUwM2p3a3lfZTF3eXpmcU8=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