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Степаняна Арсена Грачовича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Сабелькина Инна Владимировна</w:t>
      </w:r>
      <w:r w:rsidDel="00000000" w:rsidR="00000000" w:rsidRPr="00000000">
        <w:rPr>
          <w:sz w:val="22"/>
          <w:szCs w:val="22"/>
          <w:rtl w:val="0"/>
        </w:rPr>
        <w:t xml:space="preserve">, действующий на основании Решения Арбитражного суда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Брянской области от 07.11.2022 по делу №А09-7260/2022,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Степаняна Арсена Грачовича</w:t>
      </w:r>
      <w:r w:rsidDel="00000000" w:rsidR="00000000" w:rsidRPr="00000000">
        <w:rPr>
          <w:sz w:val="22"/>
          <w:szCs w:val="22"/>
          <w:rtl w:val="0"/>
        </w:rPr>
        <w:t xml:space="preserve">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«АукционПро»,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Степанян Арсен Грачович 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325401036773,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</w:t>
      </w:r>
      <w:r w:rsidDel="00000000" w:rsidR="00000000" w:rsidRPr="00000000">
        <w:rPr>
          <w:sz w:val="22"/>
          <w:szCs w:val="22"/>
          <w:rtl w:val="0"/>
        </w:rPr>
        <w:t xml:space="preserve">40817810250167266811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right="-7" w:firstLine="85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Брянской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Степаняна Арсена Грачовича 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Сабелькина Инна Владимировна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Степанян Арсен Грачович 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325401036773,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40817810250167266811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И.В. Сабелькина/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</w:pPr>
    <w:rPr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paragraph" w:customStyle="1">
    <w:name w:val="paragraph"/>
    <w:basedOn w:val="a0"/>
    <w:rsid w:val="00D76358"/>
  </w:style>
  <w:style w:type="paragraph" w:styleId="a5">
    <w:name w:val="Body Text Indent"/>
    <w:basedOn w:val="a"/>
    <w:link w:val="a6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character" w:styleId="a4" w:customStyle="1">
    <w:name w:val="Заголовок Знак"/>
    <w:basedOn w:val="a0"/>
    <w:link w:val="a3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FLWGz1QlyY5vMLtAXC+hw1d9Q==">CgMxLjAyCWlkLmdqZGd4czgAciExbEtIQjZlRWRfV05wLTkySDY2UXpTTW5DVTZCWEVrS0g=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