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/iivrnaIWBY/ga5O+K9S3mQi8RUYS0c0mseALblX+hc=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0H2WMYGnBU84X2KvlGj1GNpk0R84X64tX65tekNm8N8=</DigestValue>
    </Reference>
  </SignedInfo>
  <SignatureValue>edpmcIhAAfbSGtmIapVjo3bU/ET2T+EAKRcg7Hy6MO+jHtQMKJMPhRMiAz4ATJq0
s8GC/29u/N3GNoAt1Wp1dA==</SignatureValue>
  <KeyInfo>
    <X509Data>
      <X509Certificate>MIIKqDCCClWgAwIBAgIQeVqHAESyFplKWQ8MZPCDaDAKBggqhQMHAQEDAjCCAYAx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2025-02-26T11:27:46Z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2025-02-26T11:27:46Z</xd:SigningTime>
          <xd:SigningCertificate>
            <xd:Cert>
              <xd:CertDigest>
                <DigestMethod Algorithm="http://www.w3.org/2000/09/xmldsig#sha1"/>
                <DigestValue>Cvh5FpzTKM+v9ZKihUyDbHYWXiw=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ИНН ЮЛ=7605016030, ОГРН=1027600787994, E=ca_tensor@tensor.ru</X509IssuerName>
                <X509SerialNumber>161306632353799724266950296696255447912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