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Бочарникова Игоря Николаевича Грудева Екатерина Ивановна, действующий на основании Решения Арбитражного суда Ярославской области от 21.07.2024 по делу №А82-1721/2024,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_____________202_ г. на электронной площадке </w:t>
      </w:r>
      <w:r w:rsidDel="00000000" w:rsidR="00000000" w:rsidRPr="00000000">
        <w:rPr>
          <w:sz w:val="22"/>
          <w:szCs w:val="22"/>
          <w:rtl w:val="0"/>
        </w:rPr>
        <w:t xml:space="preserve">ООО «АукционПро»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по продаже имущества Бочарникова Игоря Николаевича,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Бочарникова Игоря Николаевича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Бочарникова Игоря Николаевича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Бочарников Игорь Николаевич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761202547892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40817810150190370418.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djCK5FlQmfJNHa5GBQ5zGlqraQ==">CgMxLjA4AHIhMWFlZWp5ZnpuZXlHSk43NTg4NjZFWUpiNERGSlVlbTZD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